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8CE" w:rsidRDefault="006748CE" w:rsidP="006748CE">
      <w:pPr>
        <w:jc w:val="center"/>
        <w:rPr>
          <w:rFonts w:ascii="Tahoma" w:hAnsi="Tahoma" w:cs="Tahoma"/>
          <w:sz w:val="28"/>
          <w:szCs w:val="28"/>
        </w:rPr>
      </w:pPr>
      <w:bookmarkStart w:id="0" w:name="_GoBack"/>
      <w:bookmarkEnd w:id="0"/>
      <w:r w:rsidRPr="00FD6E57">
        <w:rPr>
          <w:rFonts w:ascii="Tahoma" w:hAnsi="Tahoma" w:cs="Tahoma"/>
          <w:noProof/>
          <w:sz w:val="28"/>
          <w:szCs w:val="28"/>
          <w:lang w:val="en-GB" w:eastAsia="en-GB"/>
        </w:rPr>
        <w:drawing>
          <wp:inline distT="0" distB="0" distL="0" distR="0" wp14:anchorId="073E6A2E" wp14:editId="007C0F67">
            <wp:extent cx="578997" cy="825380"/>
            <wp:effectExtent l="0" t="0" r="0" b="0"/>
            <wp:docPr id="2" name="Picture 2" descr="C:\Users\slmissio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mission\Desktop\downloa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29" cy="850943"/>
                    </a:xfrm>
                    <a:prstGeom prst="rect">
                      <a:avLst/>
                    </a:prstGeom>
                    <a:noFill/>
                    <a:ln>
                      <a:noFill/>
                    </a:ln>
                  </pic:spPr>
                </pic:pic>
              </a:graphicData>
            </a:graphic>
          </wp:inline>
        </w:drawing>
      </w:r>
    </w:p>
    <w:p w:rsidR="006748CE" w:rsidRDefault="006748CE" w:rsidP="006748CE">
      <w:pPr>
        <w:jc w:val="center"/>
        <w:rPr>
          <w:rFonts w:ascii="Tahoma" w:hAnsi="Tahoma" w:cs="Tahoma"/>
          <w:sz w:val="28"/>
          <w:szCs w:val="28"/>
        </w:rPr>
      </w:pPr>
    </w:p>
    <w:p w:rsidR="006748CE" w:rsidRPr="00C606CA" w:rsidRDefault="006748CE" w:rsidP="006748CE">
      <w:pPr>
        <w:jc w:val="center"/>
        <w:rPr>
          <w:rFonts w:ascii="Tahoma" w:hAnsi="Tahoma" w:cs="Tahoma"/>
          <w:b/>
          <w:bCs/>
          <w:sz w:val="32"/>
          <w:szCs w:val="32"/>
        </w:rPr>
      </w:pPr>
      <w:r w:rsidRPr="00C606CA">
        <w:rPr>
          <w:rFonts w:ascii="Tahoma" w:hAnsi="Tahoma" w:cs="Tahoma"/>
          <w:b/>
          <w:bCs/>
          <w:sz w:val="32"/>
          <w:szCs w:val="32"/>
        </w:rPr>
        <w:t xml:space="preserve">The Permanent Mission of Sri Lanka to the </w:t>
      </w:r>
    </w:p>
    <w:p w:rsidR="006748CE" w:rsidRDefault="006748CE" w:rsidP="006748CE">
      <w:pPr>
        <w:jc w:val="center"/>
        <w:rPr>
          <w:rFonts w:ascii="Tahoma" w:hAnsi="Tahoma" w:cs="Tahoma"/>
          <w:b/>
          <w:bCs/>
          <w:sz w:val="32"/>
          <w:szCs w:val="32"/>
        </w:rPr>
      </w:pPr>
      <w:r w:rsidRPr="00C606CA">
        <w:rPr>
          <w:rFonts w:ascii="Tahoma" w:hAnsi="Tahoma" w:cs="Tahoma"/>
          <w:b/>
          <w:bCs/>
          <w:sz w:val="32"/>
          <w:szCs w:val="32"/>
        </w:rPr>
        <w:t xml:space="preserve">United Nations and Other International Organizations in </w:t>
      </w:r>
    </w:p>
    <w:p w:rsidR="006748CE" w:rsidRPr="00C606CA" w:rsidRDefault="006748CE" w:rsidP="006748CE">
      <w:pPr>
        <w:jc w:val="center"/>
        <w:rPr>
          <w:rFonts w:ascii="Tahoma" w:hAnsi="Tahoma" w:cs="Tahoma"/>
          <w:b/>
          <w:bCs/>
          <w:sz w:val="32"/>
          <w:szCs w:val="32"/>
        </w:rPr>
      </w:pPr>
      <w:r w:rsidRPr="00C606CA">
        <w:rPr>
          <w:rFonts w:ascii="Tahoma" w:hAnsi="Tahoma" w:cs="Tahoma"/>
          <w:b/>
          <w:bCs/>
          <w:sz w:val="32"/>
          <w:szCs w:val="32"/>
        </w:rPr>
        <w:t>Geneva</w:t>
      </w:r>
    </w:p>
    <w:p w:rsidR="006748CE" w:rsidRDefault="006748CE" w:rsidP="006748CE">
      <w:pPr>
        <w:jc w:val="center"/>
        <w:rPr>
          <w:rFonts w:ascii="Tahoma" w:hAnsi="Tahoma" w:cs="Tahoma"/>
          <w:sz w:val="28"/>
          <w:szCs w:val="28"/>
        </w:rPr>
      </w:pPr>
    </w:p>
    <w:p w:rsidR="006748CE" w:rsidRDefault="006748CE" w:rsidP="006748CE">
      <w:pPr>
        <w:jc w:val="center"/>
        <w:rPr>
          <w:rFonts w:ascii="Tahoma" w:hAnsi="Tahoma" w:cs="Tahoma"/>
          <w:sz w:val="28"/>
          <w:szCs w:val="28"/>
        </w:rPr>
      </w:pPr>
    </w:p>
    <w:p w:rsidR="006748CE" w:rsidRDefault="006748CE" w:rsidP="006748CE">
      <w:pPr>
        <w:jc w:val="center"/>
        <w:rPr>
          <w:rFonts w:ascii="Tahoma" w:hAnsi="Tahoma" w:cs="Tahoma"/>
          <w:sz w:val="28"/>
          <w:szCs w:val="28"/>
        </w:rPr>
      </w:pPr>
    </w:p>
    <w:p w:rsidR="006748CE" w:rsidRPr="003468AF" w:rsidRDefault="006748CE" w:rsidP="006748CE">
      <w:pPr>
        <w:jc w:val="center"/>
        <w:rPr>
          <w:rFonts w:ascii="Tahoma" w:hAnsi="Tahoma" w:cs="Tahoma"/>
          <w:b/>
          <w:bCs/>
          <w:sz w:val="34"/>
          <w:szCs w:val="34"/>
        </w:rPr>
      </w:pPr>
      <w:r w:rsidRPr="003468AF">
        <w:rPr>
          <w:rFonts w:ascii="Tahoma" w:hAnsi="Tahoma" w:cs="Tahoma"/>
          <w:b/>
          <w:bCs/>
          <w:sz w:val="34"/>
          <w:szCs w:val="34"/>
        </w:rPr>
        <w:t>Human Rights Council</w:t>
      </w:r>
    </w:p>
    <w:p w:rsidR="006748CE" w:rsidRPr="003468AF" w:rsidRDefault="006748CE" w:rsidP="006748CE">
      <w:pPr>
        <w:jc w:val="center"/>
        <w:rPr>
          <w:rFonts w:ascii="Tahoma" w:hAnsi="Tahoma" w:cs="Tahoma"/>
          <w:b/>
          <w:bCs/>
          <w:sz w:val="34"/>
          <w:szCs w:val="34"/>
        </w:rPr>
      </w:pPr>
      <w:r w:rsidRPr="003468AF">
        <w:rPr>
          <w:rFonts w:ascii="Tahoma" w:hAnsi="Tahoma" w:cs="Tahoma"/>
          <w:b/>
          <w:bCs/>
          <w:sz w:val="34"/>
          <w:szCs w:val="34"/>
        </w:rPr>
        <w:t>40</w:t>
      </w:r>
      <w:r w:rsidRPr="003468AF">
        <w:rPr>
          <w:rFonts w:ascii="Tahoma" w:hAnsi="Tahoma" w:cs="Tahoma"/>
          <w:b/>
          <w:bCs/>
          <w:sz w:val="34"/>
          <w:szCs w:val="34"/>
          <w:vertAlign w:val="superscript"/>
        </w:rPr>
        <w:t>th</w:t>
      </w:r>
      <w:r w:rsidRPr="003468AF">
        <w:rPr>
          <w:rFonts w:ascii="Tahoma" w:hAnsi="Tahoma" w:cs="Tahoma"/>
          <w:b/>
          <w:bCs/>
          <w:sz w:val="34"/>
          <w:szCs w:val="34"/>
        </w:rPr>
        <w:t xml:space="preserve"> Regular Session</w:t>
      </w:r>
    </w:p>
    <w:p w:rsidR="006748CE" w:rsidRDefault="006748CE" w:rsidP="006748CE">
      <w:pPr>
        <w:jc w:val="center"/>
        <w:rPr>
          <w:rFonts w:ascii="Tahoma" w:hAnsi="Tahoma" w:cs="Tahoma"/>
          <w:sz w:val="28"/>
          <w:szCs w:val="28"/>
        </w:rPr>
      </w:pPr>
    </w:p>
    <w:p w:rsidR="006748CE" w:rsidRDefault="006748CE" w:rsidP="006748CE">
      <w:pPr>
        <w:jc w:val="center"/>
        <w:rPr>
          <w:rFonts w:ascii="Tahoma" w:hAnsi="Tahoma" w:cs="Tahoma"/>
          <w:sz w:val="28"/>
          <w:szCs w:val="28"/>
        </w:rPr>
      </w:pPr>
    </w:p>
    <w:p w:rsidR="006748CE" w:rsidRDefault="006748CE" w:rsidP="006748CE">
      <w:pPr>
        <w:jc w:val="center"/>
        <w:rPr>
          <w:rFonts w:ascii="Tahoma" w:hAnsi="Tahoma" w:cs="Tahoma"/>
          <w:sz w:val="28"/>
          <w:szCs w:val="28"/>
        </w:rPr>
      </w:pPr>
      <w:r>
        <w:rPr>
          <w:rFonts w:ascii="Tahoma" w:hAnsi="Tahoma" w:cs="Tahoma"/>
          <w:sz w:val="28"/>
          <w:szCs w:val="28"/>
        </w:rPr>
        <w:t>Agenda Item 2</w:t>
      </w:r>
    </w:p>
    <w:p w:rsidR="006748CE" w:rsidRDefault="006748CE" w:rsidP="006748CE">
      <w:pPr>
        <w:jc w:val="center"/>
        <w:rPr>
          <w:rFonts w:ascii="Tahoma" w:hAnsi="Tahoma" w:cs="Tahoma"/>
          <w:sz w:val="28"/>
          <w:szCs w:val="28"/>
        </w:rPr>
      </w:pPr>
      <w:r w:rsidRPr="006748CE">
        <w:rPr>
          <w:rFonts w:ascii="Tahoma" w:hAnsi="Tahoma" w:cs="Tahoma"/>
          <w:sz w:val="28"/>
          <w:szCs w:val="28"/>
        </w:rPr>
        <w:t>Interactive Dialogue with the High Commissioner for Human Rights on ‘Promoting Reconciliation, Accountability and Human Rights in Sri Lanka</w:t>
      </w:r>
      <w:r w:rsidR="00CF5CDD">
        <w:rPr>
          <w:rFonts w:ascii="Tahoma" w:hAnsi="Tahoma" w:cs="Tahoma"/>
          <w:sz w:val="28"/>
          <w:szCs w:val="28"/>
        </w:rPr>
        <w:t>’</w:t>
      </w:r>
    </w:p>
    <w:p w:rsidR="006748CE" w:rsidRDefault="006748CE" w:rsidP="006748CE">
      <w:pPr>
        <w:jc w:val="center"/>
        <w:rPr>
          <w:rFonts w:ascii="Tahoma" w:hAnsi="Tahoma" w:cs="Tahoma"/>
          <w:sz w:val="28"/>
          <w:szCs w:val="28"/>
        </w:rPr>
      </w:pPr>
    </w:p>
    <w:p w:rsidR="006748CE" w:rsidRDefault="006748CE" w:rsidP="006748CE">
      <w:pPr>
        <w:jc w:val="center"/>
        <w:rPr>
          <w:rFonts w:ascii="Tahoma" w:hAnsi="Tahoma" w:cs="Tahoma"/>
          <w:sz w:val="28"/>
          <w:szCs w:val="28"/>
        </w:rPr>
      </w:pPr>
      <w:r>
        <w:rPr>
          <w:rFonts w:ascii="Tahoma" w:hAnsi="Tahoma" w:cs="Tahoma"/>
          <w:sz w:val="28"/>
          <w:szCs w:val="28"/>
        </w:rPr>
        <w:t>Statement by</w:t>
      </w:r>
    </w:p>
    <w:p w:rsidR="006748CE" w:rsidRDefault="006748CE" w:rsidP="006748CE">
      <w:pPr>
        <w:jc w:val="center"/>
        <w:rPr>
          <w:rFonts w:ascii="Tahoma" w:hAnsi="Tahoma" w:cs="Tahoma"/>
          <w:sz w:val="28"/>
          <w:szCs w:val="28"/>
        </w:rPr>
      </w:pPr>
    </w:p>
    <w:p w:rsidR="006748CE" w:rsidRPr="00445CBB" w:rsidRDefault="006748CE" w:rsidP="006748CE">
      <w:pPr>
        <w:jc w:val="center"/>
        <w:rPr>
          <w:rFonts w:ascii="Tahoma" w:hAnsi="Tahoma" w:cs="Tahoma"/>
          <w:b/>
          <w:bCs/>
          <w:sz w:val="28"/>
          <w:szCs w:val="28"/>
        </w:rPr>
      </w:pPr>
      <w:r w:rsidRPr="00445CBB">
        <w:rPr>
          <w:rFonts w:ascii="Tahoma" w:hAnsi="Tahoma" w:cs="Tahoma"/>
          <w:b/>
          <w:bCs/>
          <w:sz w:val="28"/>
          <w:szCs w:val="28"/>
        </w:rPr>
        <w:t>Hon. Tilak Marapana, PC., MP</w:t>
      </w:r>
    </w:p>
    <w:p w:rsidR="006748CE" w:rsidRDefault="006748CE" w:rsidP="006748CE">
      <w:pPr>
        <w:jc w:val="center"/>
        <w:rPr>
          <w:rFonts w:ascii="Tahoma" w:hAnsi="Tahoma" w:cs="Tahoma"/>
          <w:b/>
          <w:bCs/>
          <w:sz w:val="28"/>
          <w:szCs w:val="28"/>
        </w:rPr>
      </w:pPr>
      <w:r w:rsidRPr="00445CBB">
        <w:rPr>
          <w:rFonts w:ascii="Tahoma" w:hAnsi="Tahoma" w:cs="Tahoma"/>
          <w:b/>
          <w:bCs/>
          <w:sz w:val="28"/>
          <w:szCs w:val="28"/>
        </w:rPr>
        <w:t>Minister of Foreign Affairs of Sri Lanka</w:t>
      </w:r>
    </w:p>
    <w:p w:rsidR="006748CE" w:rsidRDefault="006748CE" w:rsidP="006748CE">
      <w:pPr>
        <w:jc w:val="center"/>
        <w:rPr>
          <w:rFonts w:ascii="Tahoma" w:hAnsi="Tahoma" w:cs="Tahoma"/>
          <w:b/>
          <w:bCs/>
          <w:sz w:val="28"/>
          <w:szCs w:val="28"/>
        </w:rPr>
      </w:pPr>
      <w:r w:rsidRPr="00A66F13">
        <w:rPr>
          <w:rFonts w:ascii="Tahoma" w:hAnsi="Tahoma" w:cs="Tahoma"/>
          <w:b/>
          <w:bCs/>
          <w:sz w:val="28"/>
          <w:szCs w:val="28"/>
        </w:rPr>
        <w:t>(Leader of Sri Lanka Delegation)</w:t>
      </w:r>
    </w:p>
    <w:p w:rsidR="006748CE" w:rsidRPr="00A66F13" w:rsidRDefault="006748CE" w:rsidP="006748CE">
      <w:pPr>
        <w:jc w:val="center"/>
        <w:rPr>
          <w:rFonts w:ascii="Tahoma" w:hAnsi="Tahoma" w:cs="Tahoma"/>
          <w:b/>
          <w:bCs/>
          <w:sz w:val="28"/>
          <w:szCs w:val="28"/>
        </w:rPr>
      </w:pPr>
    </w:p>
    <w:p w:rsidR="004E2CA5" w:rsidRDefault="006748CE" w:rsidP="006748CE">
      <w:pPr>
        <w:jc w:val="center"/>
        <w:rPr>
          <w:rFonts w:ascii="Tahoma" w:hAnsi="Tahoma" w:cs="Tahoma"/>
          <w:sz w:val="28"/>
          <w:szCs w:val="28"/>
        </w:rPr>
      </w:pPr>
      <w:r>
        <w:rPr>
          <w:rFonts w:ascii="Tahoma" w:hAnsi="Tahoma" w:cs="Tahoma"/>
          <w:sz w:val="28"/>
          <w:szCs w:val="28"/>
        </w:rPr>
        <w:t>(20 March 2019</w:t>
      </w:r>
      <w:r w:rsidR="003468AF">
        <w:rPr>
          <w:rFonts w:ascii="Tahoma" w:hAnsi="Tahoma" w:cs="Tahoma"/>
          <w:sz w:val="28"/>
          <w:szCs w:val="28"/>
        </w:rPr>
        <w:t>, Geneva</w:t>
      </w:r>
      <w:r>
        <w:rPr>
          <w:rFonts w:ascii="Tahoma" w:hAnsi="Tahoma" w:cs="Tahoma"/>
          <w:sz w:val="28"/>
          <w:szCs w:val="28"/>
        </w:rPr>
        <w:t>)</w:t>
      </w:r>
    </w:p>
    <w:p w:rsidR="008525FD" w:rsidRPr="003A4D13" w:rsidRDefault="008525FD" w:rsidP="008525FD">
      <w:pPr>
        <w:spacing w:line="240" w:lineRule="auto"/>
        <w:jc w:val="both"/>
        <w:rPr>
          <w:rFonts w:ascii="Book Antiqua" w:hAnsi="Book Antiqua"/>
          <w:b/>
          <w:bCs/>
          <w:lang w:val="en-GB"/>
        </w:rPr>
      </w:pPr>
      <w:r w:rsidRPr="003A4D13">
        <w:rPr>
          <w:rFonts w:ascii="Book Antiqua" w:hAnsi="Book Antiqua"/>
          <w:b/>
          <w:bCs/>
          <w:lang w:val="en-GB"/>
        </w:rPr>
        <w:lastRenderedPageBreak/>
        <w:t>Statement by Hon. Tilak Marapana, P.C. Minister of Foreign Affairs of Sri Lanka and Leader  of the Sri Lanka Delegation to the 40</w:t>
      </w:r>
      <w:r w:rsidRPr="003A4D13">
        <w:rPr>
          <w:rFonts w:ascii="Book Antiqua" w:hAnsi="Book Antiqua"/>
          <w:b/>
          <w:bCs/>
          <w:vertAlign w:val="superscript"/>
          <w:lang w:val="en-GB"/>
        </w:rPr>
        <w:t>th</w:t>
      </w:r>
      <w:r w:rsidRPr="003A4D13">
        <w:rPr>
          <w:rFonts w:ascii="Book Antiqua" w:hAnsi="Book Antiqua"/>
          <w:b/>
          <w:bCs/>
          <w:lang w:val="en-GB"/>
        </w:rPr>
        <w:t xml:space="preserve"> Session of the Human Rights Council on Agenda </w:t>
      </w:r>
      <w:r w:rsidRPr="003A4D13">
        <w:rPr>
          <w:rFonts w:ascii="Book Antiqua" w:hAnsi="Book Antiqua"/>
          <w:b/>
          <w:bCs/>
          <w:lang w:val="en-GB"/>
        </w:rPr>
        <w:br/>
        <w:t>Item 2 - Interactive Dialogue with the High Commissioner for Human Rights on ‘Promoting Reconciliation, Accountability and Human Rights in Sri Lanka: 20 March 2019 – Geneva</w:t>
      </w:r>
    </w:p>
    <w:p w:rsidR="008525FD" w:rsidRPr="003A4D13" w:rsidRDefault="008525FD" w:rsidP="008525FD">
      <w:pPr>
        <w:spacing w:line="276" w:lineRule="auto"/>
        <w:jc w:val="both"/>
        <w:rPr>
          <w:rFonts w:ascii="Book Antiqua" w:hAnsi="Book Antiqua" w:cs="Tahoma"/>
        </w:rPr>
      </w:pPr>
    </w:p>
    <w:p w:rsidR="008525FD" w:rsidRPr="003A4D13" w:rsidRDefault="008525FD" w:rsidP="008525FD">
      <w:pPr>
        <w:spacing w:line="276" w:lineRule="auto"/>
        <w:jc w:val="both"/>
        <w:rPr>
          <w:rFonts w:ascii="Book Antiqua" w:hAnsi="Book Antiqua" w:cs="Tahoma"/>
        </w:rPr>
      </w:pPr>
      <w:r w:rsidRPr="003A4D13">
        <w:rPr>
          <w:rFonts w:ascii="Book Antiqua" w:hAnsi="Book Antiqua" w:cs="Tahoma"/>
        </w:rPr>
        <w:t xml:space="preserve">Mr. President, </w:t>
      </w:r>
    </w:p>
    <w:p w:rsidR="008525FD" w:rsidRPr="003A4D13" w:rsidRDefault="008525FD" w:rsidP="008525FD">
      <w:pPr>
        <w:spacing w:line="276" w:lineRule="auto"/>
        <w:jc w:val="both"/>
        <w:rPr>
          <w:rFonts w:ascii="Book Antiqua" w:hAnsi="Book Antiqua" w:cs="Tahoma"/>
        </w:rPr>
      </w:pPr>
      <w:r w:rsidRPr="003A4D13">
        <w:rPr>
          <w:rFonts w:ascii="Book Antiqua" w:hAnsi="Book Antiqua" w:cs="Tahoma"/>
        </w:rPr>
        <w:t>Madam High Commissioner/Deputy High Commissioner,</w:t>
      </w:r>
    </w:p>
    <w:p w:rsidR="008525FD" w:rsidRPr="003A4D13" w:rsidRDefault="008525FD" w:rsidP="008525FD">
      <w:pPr>
        <w:spacing w:line="276" w:lineRule="auto"/>
        <w:jc w:val="both"/>
        <w:rPr>
          <w:rFonts w:ascii="Book Antiqua" w:hAnsi="Book Antiqua" w:cs="Tahoma"/>
        </w:rPr>
      </w:pPr>
      <w:r w:rsidRPr="003A4D13">
        <w:rPr>
          <w:rFonts w:ascii="Book Antiqua" w:hAnsi="Book Antiqua" w:cs="Tahoma"/>
        </w:rPr>
        <w:t>Members of the Council and Delegates to the 40th Session of HRC,</w:t>
      </w:r>
    </w:p>
    <w:p w:rsidR="008525FD" w:rsidRPr="003A4D13" w:rsidRDefault="008525FD" w:rsidP="008525FD">
      <w:pPr>
        <w:spacing w:line="276" w:lineRule="auto"/>
        <w:jc w:val="both"/>
        <w:rPr>
          <w:rFonts w:ascii="Book Antiqua" w:hAnsi="Book Antiqua" w:cs="Tahoma"/>
        </w:rPr>
      </w:pPr>
      <w:r w:rsidRPr="003A4D13">
        <w:rPr>
          <w:rFonts w:ascii="Book Antiqua" w:hAnsi="Book Antiqua" w:cs="Tahoma"/>
        </w:rPr>
        <w:t>Ladies and Gentlemen.</w:t>
      </w:r>
    </w:p>
    <w:p w:rsidR="008525FD" w:rsidRPr="003A4D13" w:rsidRDefault="008525FD" w:rsidP="008525FD">
      <w:pPr>
        <w:spacing w:line="276" w:lineRule="auto"/>
        <w:jc w:val="both"/>
        <w:rPr>
          <w:rFonts w:ascii="Book Antiqua" w:hAnsi="Book Antiqua" w:cs="Tahoma"/>
        </w:rPr>
      </w:pPr>
    </w:p>
    <w:p w:rsidR="008525FD" w:rsidRPr="003A4D13" w:rsidRDefault="008525FD" w:rsidP="008525FD">
      <w:pPr>
        <w:spacing w:line="276" w:lineRule="auto"/>
        <w:jc w:val="both"/>
        <w:rPr>
          <w:rFonts w:ascii="Book Antiqua" w:hAnsi="Book Antiqua" w:cs="Tahoma"/>
        </w:rPr>
      </w:pPr>
      <w:r w:rsidRPr="003A4D13">
        <w:rPr>
          <w:rFonts w:ascii="Book Antiqua" w:hAnsi="Book Antiqua" w:cs="Tahoma"/>
        </w:rPr>
        <w:t xml:space="preserve">I am pleased to be at </w:t>
      </w:r>
      <w:r>
        <w:rPr>
          <w:rFonts w:ascii="Book Antiqua" w:hAnsi="Book Antiqua" w:cs="Tahoma"/>
        </w:rPr>
        <w:t>the 40</w:t>
      </w:r>
      <w:r w:rsidRPr="00FA1EF0">
        <w:rPr>
          <w:rFonts w:ascii="Book Antiqua" w:hAnsi="Book Antiqua" w:cs="Tahoma"/>
          <w:vertAlign w:val="superscript"/>
        </w:rPr>
        <w:t>th</w:t>
      </w:r>
      <w:r>
        <w:rPr>
          <w:rFonts w:ascii="Book Antiqua" w:hAnsi="Book Antiqua" w:cs="Tahoma"/>
        </w:rPr>
        <w:t xml:space="preserve"> Session of the HRC</w:t>
      </w:r>
      <w:r w:rsidRPr="003A4D13">
        <w:rPr>
          <w:rFonts w:ascii="Book Antiqua" w:hAnsi="Book Antiqua" w:cs="Tahoma"/>
        </w:rPr>
        <w:t xml:space="preserve"> to share Sri Lanka</w:t>
      </w:r>
      <w:bookmarkStart w:id="1" w:name="_Hlk3926182"/>
      <w:r w:rsidRPr="003A4D13">
        <w:rPr>
          <w:rFonts w:ascii="Book Antiqua" w:hAnsi="Book Antiqua" w:cs="Tahoma"/>
        </w:rPr>
        <w:t>’s</w:t>
      </w:r>
      <w:bookmarkEnd w:id="1"/>
      <w:r w:rsidRPr="003A4D13">
        <w:rPr>
          <w:rFonts w:ascii="Book Antiqua" w:hAnsi="Book Antiqua" w:cs="Tahoma"/>
        </w:rPr>
        <w:t xml:space="preserve"> significant progress on human rights </w:t>
      </w:r>
      <w:r>
        <w:rPr>
          <w:rFonts w:ascii="Book Antiqua" w:hAnsi="Book Antiqua" w:cs="Tahoma"/>
        </w:rPr>
        <w:t>since the last review in 2017</w:t>
      </w:r>
      <w:r w:rsidRPr="003A4D13">
        <w:rPr>
          <w:rFonts w:ascii="Book Antiqua" w:hAnsi="Book Antiqua" w:cs="Tahoma"/>
        </w:rPr>
        <w:t xml:space="preserve">. </w:t>
      </w:r>
      <w:r w:rsidRPr="003A4D13">
        <w:rPr>
          <w:rFonts w:ascii="Book Antiqua" w:hAnsi="Book Antiqua"/>
        </w:rPr>
        <w:t>I am joined by my parliamentary colleague Hon. (Dr) Sarath Amunugama, the Governor of the Northern Province Hon (Dr) Suren Rag</w:t>
      </w:r>
      <w:r>
        <w:rPr>
          <w:rFonts w:ascii="Book Antiqua" w:hAnsi="Book Antiqua"/>
        </w:rPr>
        <w:t>h</w:t>
      </w:r>
      <w:r w:rsidRPr="003A4D13">
        <w:rPr>
          <w:rFonts w:ascii="Book Antiqua" w:hAnsi="Book Antiqua"/>
        </w:rPr>
        <w:t xml:space="preserve">avan, senior government officials including Foreign Secretary Ravinatha Aryasinha and Deputy Solicitor General Nerin Pulle, </w:t>
      </w:r>
      <w:r>
        <w:rPr>
          <w:rFonts w:ascii="Book Antiqua" w:hAnsi="Book Antiqua"/>
        </w:rPr>
        <w:t>and</w:t>
      </w:r>
      <w:r w:rsidRPr="003A4D13">
        <w:rPr>
          <w:rFonts w:ascii="Book Antiqua" w:hAnsi="Book Antiqua"/>
        </w:rPr>
        <w:t xml:space="preserve"> Permanent Representative Ambassador A.L.A. Azeez. </w:t>
      </w:r>
    </w:p>
    <w:p w:rsidR="008525FD" w:rsidRPr="003A4D13" w:rsidRDefault="008525FD" w:rsidP="008525FD">
      <w:pPr>
        <w:spacing w:line="276" w:lineRule="auto"/>
        <w:jc w:val="both"/>
        <w:rPr>
          <w:rFonts w:ascii="Book Antiqua" w:hAnsi="Book Antiqua" w:cs="Tahoma"/>
        </w:rPr>
      </w:pPr>
      <w:r>
        <w:rPr>
          <w:rFonts w:ascii="Book Antiqua" w:hAnsi="Book Antiqua" w:cs="Tahoma"/>
        </w:rPr>
        <w:t>Sri Lanka</w:t>
      </w:r>
      <w:r w:rsidRPr="003A4D13">
        <w:rPr>
          <w:rFonts w:ascii="Book Antiqua" w:hAnsi="Book Antiqua" w:cs="Tahoma"/>
        </w:rPr>
        <w:t xml:space="preserve">’s engagement  in these Council sessions is in keeping with our government’s vision for a country that embodies the universal values of human rights, justice, rule of law and good governance, while striving to eradicate poverty and ensure economic dividends to all – providing the people a fundamental assurance of security and a sustainable future. </w:t>
      </w:r>
    </w:p>
    <w:p w:rsidR="008525FD" w:rsidRPr="003A4D13" w:rsidRDefault="008525FD" w:rsidP="008525FD">
      <w:pPr>
        <w:spacing w:line="276" w:lineRule="auto"/>
        <w:jc w:val="both"/>
        <w:rPr>
          <w:rFonts w:ascii="Book Antiqua" w:hAnsi="Book Antiqua" w:cs="Tahoma"/>
        </w:rPr>
      </w:pPr>
      <w:r w:rsidRPr="003A4D13">
        <w:rPr>
          <w:rFonts w:ascii="Book Antiqua" w:hAnsi="Book Antiqua" w:cs="Tahoma"/>
        </w:rPr>
        <w:t>Madam High Commissioner,</w:t>
      </w:r>
    </w:p>
    <w:p w:rsidR="008525FD" w:rsidRPr="003A4D13" w:rsidRDefault="008525FD" w:rsidP="008525FD">
      <w:pPr>
        <w:spacing w:line="276" w:lineRule="auto"/>
        <w:jc w:val="both"/>
        <w:rPr>
          <w:rFonts w:ascii="Book Antiqua" w:hAnsi="Book Antiqua" w:cs="Tahoma"/>
        </w:rPr>
      </w:pPr>
      <w:r w:rsidRPr="003A4D13">
        <w:rPr>
          <w:rFonts w:ascii="Book Antiqua" w:hAnsi="Book Antiqua" w:cs="Tahoma"/>
        </w:rPr>
        <w:t xml:space="preserve">At the outset we thank you for the acknowledgement throughout your report of the open, constructive and cooperative approach adopted by the Government of Sri Lanka, towards all stakeholders, both within and outside the country, and with the processes and mechanisms of this Council. Our intention has been to engage comprehensively so that our deep-rooted commitment to achieving reconciliation is made evident. Sri Lanka remains committed to achieving reconciliation and has made steady progress in pursuit of that objective. We have reported to this Council at </w:t>
      </w:r>
      <w:r>
        <w:rPr>
          <w:rFonts w:ascii="Book Antiqua" w:hAnsi="Book Antiqua" w:cs="Tahoma"/>
        </w:rPr>
        <w:t xml:space="preserve">consecutive </w:t>
      </w:r>
      <w:r w:rsidRPr="003A4D13">
        <w:rPr>
          <w:rFonts w:ascii="Book Antiqua" w:hAnsi="Book Antiqua" w:cs="Tahoma"/>
        </w:rPr>
        <w:t xml:space="preserve">sessions on the substantial progress made </w:t>
      </w:r>
      <w:r>
        <w:rPr>
          <w:rFonts w:ascii="Book Antiqua" w:hAnsi="Book Antiqua" w:cs="Tahoma"/>
        </w:rPr>
        <w:t xml:space="preserve">among others, </w:t>
      </w:r>
      <w:r w:rsidRPr="003A4D13">
        <w:rPr>
          <w:rFonts w:ascii="Book Antiqua" w:hAnsi="Book Antiqua" w:cs="Tahoma"/>
        </w:rPr>
        <w:t xml:space="preserve">with regard to civil and political rights, including advances with respect to freedom of expression and assembly, civil society consultation, establishment of a robust right to information framework, the strengthening of independent commissions, including the Human Rights Commission, among others. </w:t>
      </w:r>
    </w:p>
    <w:p w:rsidR="008525FD" w:rsidRPr="003A4D13" w:rsidRDefault="008525FD" w:rsidP="008525FD">
      <w:pPr>
        <w:spacing w:line="276" w:lineRule="auto"/>
        <w:jc w:val="both"/>
        <w:rPr>
          <w:rFonts w:ascii="Book Antiqua" w:hAnsi="Book Antiqua" w:cs="Tahoma"/>
        </w:rPr>
      </w:pPr>
      <w:r w:rsidRPr="003A4D13">
        <w:rPr>
          <w:rFonts w:ascii="Book Antiqua" w:hAnsi="Book Antiqua" w:cs="Tahoma"/>
        </w:rPr>
        <w:t xml:space="preserve">You would agree that the post-conflict milieu of each country is unique. There are no two post-conflict situations where similar prescriptive remedies can be applied. We can learn from </w:t>
      </w:r>
      <w:r>
        <w:rPr>
          <w:rFonts w:ascii="Book Antiqua" w:hAnsi="Book Antiqua" w:cs="Tahoma"/>
        </w:rPr>
        <w:t xml:space="preserve">others’ </w:t>
      </w:r>
      <w:r w:rsidRPr="003A4D13">
        <w:rPr>
          <w:rFonts w:ascii="Book Antiqua" w:hAnsi="Book Antiqua" w:cs="Tahoma"/>
        </w:rPr>
        <w:t xml:space="preserve"> experiences but our own path to reconciliation will be primarily driven by the domestic context, in which we function. The basic tenet of a Transitional Justice process is the focus on its theoretical principles on State obligations. It is the State that must pursue Truth, Justice, Reparations and </w:t>
      </w:r>
      <w:r w:rsidRPr="003A4D13">
        <w:rPr>
          <w:rFonts w:ascii="Book Antiqua" w:hAnsi="Book Antiqua" w:cs="Tahoma"/>
        </w:rPr>
        <w:lastRenderedPageBreak/>
        <w:t xml:space="preserve">Guarantees of Non-Recurrence. Sri Lanka committed to such a process in 2015, and has been taking concrete action since, to move forward on these pillars. </w:t>
      </w:r>
    </w:p>
    <w:p w:rsidR="008525FD" w:rsidRPr="003A4D13" w:rsidRDefault="008525FD" w:rsidP="008525FD">
      <w:pPr>
        <w:spacing w:line="276" w:lineRule="auto"/>
        <w:jc w:val="both"/>
        <w:rPr>
          <w:rFonts w:ascii="Book Antiqua" w:hAnsi="Book Antiqua" w:cs="Tahoma"/>
        </w:rPr>
      </w:pPr>
      <w:r w:rsidRPr="003A4D13">
        <w:rPr>
          <w:rFonts w:ascii="Book Antiqua" w:hAnsi="Book Antiqua" w:cs="Tahoma"/>
        </w:rPr>
        <w:t xml:space="preserve">In the area of </w:t>
      </w:r>
      <w:r w:rsidRPr="003A4D13">
        <w:rPr>
          <w:rFonts w:ascii="Book Antiqua" w:hAnsi="Book Antiqua" w:cs="Tahoma"/>
          <w:u w:val="single"/>
        </w:rPr>
        <w:t>Truth Seeking</w:t>
      </w:r>
      <w:r w:rsidRPr="003A4D13">
        <w:rPr>
          <w:rFonts w:ascii="Book Antiqua" w:hAnsi="Book Antiqua" w:cs="Tahoma"/>
        </w:rPr>
        <w:t xml:space="preserve">, an Office of Missing Persons (OMP) has been established </w:t>
      </w:r>
      <w:r>
        <w:rPr>
          <w:rFonts w:ascii="Book Antiqua" w:hAnsi="Book Antiqua" w:cs="Tahoma"/>
        </w:rPr>
        <w:t xml:space="preserve">by law </w:t>
      </w:r>
      <w:r w:rsidRPr="003A4D13">
        <w:rPr>
          <w:rFonts w:ascii="Book Antiqua" w:hAnsi="Book Antiqua" w:cs="Tahoma"/>
        </w:rPr>
        <w:t xml:space="preserve">and fully operationalised. The Cabinet of Ministers is currently considering draft legislation to establish a Truth and Reconciliation Commission. In the area of </w:t>
      </w:r>
      <w:r w:rsidRPr="003A4D13">
        <w:rPr>
          <w:rFonts w:ascii="Book Antiqua" w:hAnsi="Book Antiqua" w:cs="Tahoma"/>
          <w:u w:val="single"/>
        </w:rPr>
        <w:t>Justice</w:t>
      </w:r>
      <w:r w:rsidRPr="003A4D13">
        <w:rPr>
          <w:rFonts w:ascii="Book Antiqua" w:hAnsi="Book Antiqua" w:cs="Tahoma"/>
        </w:rPr>
        <w:t xml:space="preserve"> </w:t>
      </w:r>
      <w:r>
        <w:rPr>
          <w:rFonts w:ascii="Book Antiqua" w:hAnsi="Book Antiqua" w:cs="Tahoma"/>
        </w:rPr>
        <w:t>review of cases under the PTA have taken place and trials under the PTA have been expedited, while consultations are ongoing in Parliament t</w:t>
      </w:r>
      <w:r w:rsidRPr="002C2243">
        <w:rPr>
          <w:rFonts w:ascii="Book Antiqua" w:hAnsi="Book Antiqua" w:cs="Tahoma"/>
        </w:rPr>
        <w:t xml:space="preserve">o replace the PTA with </w:t>
      </w:r>
      <w:r>
        <w:rPr>
          <w:rFonts w:ascii="Book Antiqua" w:hAnsi="Book Antiqua" w:cs="Tahoma"/>
        </w:rPr>
        <w:t xml:space="preserve">proposed legislation for </w:t>
      </w:r>
      <w:r w:rsidRPr="002C2243">
        <w:rPr>
          <w:rFonts w:ascii="Book Antiqua" w:hAnsi="Book Antiqua" w:cs="Tahoma"/>
        </w:rPr>
        <w:t xml:space="preserve">Counter Terrorism </w:t>
      </w:r>
      <w:r>
        <w:rPr>
          <w:rFonts w:ascii="Book Antiqua" w:hAnsi="Book Antiqua" w:cs="Tahoma"/>
        </w:rPr>
        <w:t xml:space="preserve">(CTA) ensuring its </w:t>
      </w:r>
      <w:r w:rsidRPr="002C2243">
        <w:rPr>
          <w:rFonts w:ascii="Book Antiqua" w:hAnsi="Book Antiqua" w:cs="Tahoma"/>
        </w:rPr>
        <w:t>conform</w:t>
      </w:r>
      <w:r>
        <w:rPr>
          <w:rFonts w:ascii="Book Antiqua" w:hAnsi="Book Antiqua" w:cs="Tahoma"/>
        </w:rPr>
        <w:t>ity</w:t>
      </w:r>
      <w:r w:rsidRPr="002C2243">
        <w:rPr>
          <w:rFonts w:ascii="Book Antiqua" w:hAnsi="Book Antiqua" w:cs="Tahoma"/>
        </w:rPr>
        <w:t xml:space="preserve"> to international standards and best practices. </w:t>
      </w:r>
      <w:r w:rsidRPr="003A4D13">
        <w:rPr>
          <w:rFonts w:ascii="Book Antiqua" w:hAnsi="Book Antiqua" w:cs="Tahoma"/>
        </w:rPr>
        <w:t xml:space="preserve">As for </w:t>
      </w:r>
      <w:r w:rsidRPr="003A4D13">
        <w:rPr>
          <w:rFonts w:ascii="Book Antiqua" w:hAnsi="Book Antiqua" w:cs="Tahoma"/>
          <w:u w:val="single"/>
        </w:rPr>
        <w:t>Reparations</w:t>
      </w:r>
      <w:r w:rsidRPr="003A4D13">
        <w:rPr>
          <w:rFonts w:ascii="Book Antiqua" w:hAnsi="Book Antiqua" w:cs="Tahoma"/>
        </w:rPr>
        <w:t xml:space="preserve">, the </w:t>
      </w:r>
      <w:r>
        <w:rPr>
          <w:rFonts w:ascii="Book Antiqua" w:hAnsi="Book Antiqua" w:cs="Tahoma"/>
        </w:rPr>
        <w:t xml:space="preserve">Office for </w:t>
      </w:r>
      <w:r w:rsidRPr="003A4D13">
        <w:rPr>
          <w:rFonts w:ascii="Book Antiqua" w:hAnsi="Book Antiqua" w:cs="Tahoma"/>
        </w:rPr>
        <w:t xml:space="preserve">Reparations Act passed by Parliament </w:t>
      </w:r>
      <w:r>
        <w:rPr>
          <w:rFonts w:ascii="Book Antiqua" w:hAnsi="Book Antiqua" w:cs="Tahoma"/>
        </w:rPr>
        <w:t xml:space="preserve">in October 2018 </w:t>
      </w:r>
      <w:r w:rsidRPr="003A4D13">
        <w:rPr>
          <w:rFonts w:ascii="Book Antiqua" w:hAnsi="Book Antiqua" w:cs="Tahoma"/>
        </w:rPr>
        <w:t>has provided for the establishment of an Office of Reparations in terms of the said law</w:t>
      </w:r>
      <w:r>
        <w:rPr>
          <w:rFonts w:ascii="Book Antiqua" w:hAnsi="Book Antiqua" w:cs="Tahoma"/>
        </w:rPr>
        <w:t xml:space="preserve"> and three Commissioners have been recommended for appointment by the Constitutional Council</w:t>
      </w:r>
      <w:r w:rsidRPr="003A4D13">
        <w:rPr>
          <w:rFonts w:ascii="Book Antiqua" w:hAnsi="Book Antiqua" w:cs="Tahoma"/>
        </w:rPr>
        <w:t xml:space="preserve">. These institutions are empowered to look into, ascertain, acknowledge and address complaints made to the same. It must be noted that statutory duties performed by such bodies have to accord with a process of fairness and rules of natural justice, in achieving the objectives in respect to which such bodies are established. To ensure </w:t>
      </w:r>
      <w:r w:rsidRPr="003A4D13">
        <w:rPr>
          <w:rFonts w:ascii="Book Antiqua" w:hAnsi="Book Antiqua" w:cs="Tahoma"/>
          <w:u w:val="single"/>
        </w:rPr>
        <w:t>Non-recurrence</w:t>
      </w:r>
      <w:r w:rsidRPr="003A4D13">
        <w:rPr>
          <w:rFonts w:ascii="Book Antiqua" w:hAnsi="Book Antiqua" w:cs="Tahoma"/>
        </w:rPr>
        <w:t xml:space="preserve"> of conflict, we are firmly resolved to fulfilling the agenda on reconciliation.</w:t>
      </w:r>
    </w:p>
    <w:p w:rsidR="008525FD" w:rsidRPr="003A4D13" w:rsidRDefault="008525FD" w:rsidP="008525FD">
      <w:pPr>
        <w:spacing w:line="276" w:lineRule="auto"/>
        <w:jc w:val="both"/>
        <w:rPr>
          <w:rFonts w:ascii="Book Antiqua" w:hAnsi="Book Antiqua" w:cs="Tahoma"/>
        </w:rPr>
      </w:pPr>
      <w:r w:rsidRPr="003A4D13">
        <w:rPr>
          <w:rFonts w:ascii="Book Antiqua" w:hAnsi="Book Antiqua" w:cs="Tahoma"/>
        </w:rPr>
        <w:t xml:space="preserve">All these mechanisms and processes have been put in place within a short span. During this period, the Secretariat for Coordinating the Reconciliation Process and the Task Force also undertook a wide-ranging consultation process prior to operationalizing measures.  You would agree Madam High Commissioner that such a consultative approach was essential in order to ensure transparency and ownership of these mechanisms by the people of Sri Lanka. </w:t>
      </w:r>
    </w:p>
    <w:p w:rsidR="008525FD" w:rsidRDefault="008525FD" w:rsidP="008525FD">
      <w:pPr>
        <w:spacing w:line="276" w:lineRule="auto"/>
        <w:jc w:val="both"/>
        <w:rPr>
          <w:rFonts w:ascii="Book Antiqua" w:hAnsi="Book Antiqua" w:cs="Tahoma"/>
        </w:rPr>
      </w:pPr>
      <w:r w:rsidRPr="00C012D9">
        <w:rPr>
          <w:rFonts w:ascii="Book Antiqua" w:hAnsi="Book Antiqua" w:cs="Tahoma"/>
        </w:rPr>
        <w:t xml:space="preserve">While noting the contents in paragraphs 10-13 of the OHCHR report Madam High Commissioner, on the political developments of late 2018, it is also recalled that </w:t>
      </w:r>
      <w:r>
        <w:rPr>
          <w:rFonts w:ascii="Book Antiqua" w:hAnsi="Book Antiqua" w:cs="Tahoma"/>
        </w:rPr>
        <w:t xml:space="preserve">during the period in question, </w:t>
      </w:r>
      <w:r w:rsidRPr="00C012D9">
        <w:rPr>
          <w:rFonts w:ascii="Book Antiqua" w:hAnsi="Book Antiqua" w:cs="Tahoma"/>
        </w:rPr>
        <w:t>the Supreme Court embarked upon resolving the constitutional issues that had arisen, in an expeditious manner, giving credence to the independence of Sri Lanka’s judiciary. Furthermore, law and order was maintained by the security forces and the police, and the public service conducted itself in an exemplary manner. This clearly demonstrated Sri Lanka’s strong democratic credentials and institutional stability.</w:t>
      </w:r>
      <w:r w:rsidRPr="003A4D13">
        <w:rPr>
          <w:rFonts w:ascii="Book Antiqua" w:hAnsi="Book Antiqua" w:cs="Tahoma"/>
        </w:rPr>
        <w:t xml:space="preserve"> </w:t>
      </w:r>
    </w:p>
    <w:p w:rsidR="008525FD" w:rsidRPr="003A4D13" w:rsidRDefault="008525FD" w:rsidP="008525FD">
      <w:pPr>
        <w:spacing w:line="276" w:lineRule="auto"/>
        <w:jc w:val="both"/>
        <w:rPr>
          <w:rFonts w:ascii="Book Antiqua" w:hAnsi="Book Antiqua" w:cs="Tahoma"/>
        </w:rPr>
      </w:pPr>
      <w:r w:rsidRPr="003A4D13">
        <w:rPr>
          <w:rFonts w:ascii="Book Antiqua" w:hAnsi="Book Antiqua" w:cs="Tahoma"/>
        </w:rPr>
        <w:t xml:space="preserve">In the context of paragraph 15, the institutions already established to take the transitional justice measures forward would require that they adhere to the rule of law, and the results of the work carried out by such institutions should be able to withstand the test of any potential judicial process. Thus, while appreciating the acknowledgment in the report that steps have been taken for institution building, it may be recalled that the benefits arising from the functions of such institutions that accrue to individual rights holders should accord with the principles of natural justice as decisions made in haste compromise on principles of natural justice. </w:t>
      </w:r>
    </w:p>
    <w:p w:rsidR="008525FD" w:rsidRPr="003A4D13" w:rsidRDefault="008525FD" w:rsidP="008525FD">
      <w:pPr>
        <w:spacing w:line="276" w:lineRule="auto"/>
        <w:jc w:val="both"/>
        <w:rPr>
          <w:rFonts w:ascii="Book Antiqua" w:hAnsi="Book Antiqua" w:cs="Tahoma"/>
        </w:rPr>
      </w:pPr>
      <w:r w:rsidRPr="003A4D13">
        <w:rPr>
          <w:rFonts w:ascii="Book Antiqua" w:hAnsi="Book Antiqua" w:cs="Tahoma"/>
        </w:rPr>
        <w:t xml:space="preserve">With regard to paragraph 17, contrary to the view that the Government of Sri Lanka has lagged in the actual implementation of the commitments beyond the establishment of coordinating bodies, it must be noted that the OMP has been fully operationalized and the </w:t>
      </w:r>
      <w:r>
        <w:rPr>
          <w:rFonts w:ascii="Book Antiqua" w:hAnsi="Book Antiqua" w:cs="Tahoma"/>
        </w:rPr>
        <w:t xml:space="preserve">Office for </w:t>
      </w:r>
      <w:r w:rsidRPr="003A4D13">
        <w:rPr>
          <w:rFonts w:ascii="Book Antiqua" w:hAnsi="Book Antiqua" w:cs="Tahoma"/>
        </w:rPr>
        <w:t xml:space="preserve">Reparations Act passed by Parliament has provided for the establishment of an Office </w:t>
      </w:r>
      <w:r>
        <w:rPr>
          <w:rFonts w:ascii="Book Antiqua" w:hAnsi="Book Antiqua" w:cs="Tahoma"/>
        </w:rPr>
        <w:t>for</w:t>
      </w:r>
      <w:r w:rsidRPr="003A4D13">
        <w:rPr>
          <w:rFonts w:ascii="Book Antiqua" w:hAnsi="Book Antiqua" w:cs="Tahoma"/>
        </w:rPr>
        <w:t xml:space="preserve"> Reparations in terms of the said law. These institutions are empowered to examine, ascertain, acknowledge and address complaints made to the same, and perform its statutory duties in accordance with a process of fairness and rules of natural justice. </w:t>
      </w:r>
      <w:r>
        <w:rPr>
          <w:rFonts w:ascii="Book Antiqua" w:hAnsi="Book Antiqua" w:cs="Tahoma"/>
        </w:rPr>
        <w:t>Funding for the Office for  Reparations has been allocated in the 2019 National Budget.</w:t>
      </w:r>
      <w:r w:rsidRPr="003A4D13">
        <w:rPr>
          <w:rFonts w:ascii="Book Antiqua" w:hAnsi="Book Antiqua" w:cs="Tahoma"/>
        </w:rPr>
        <w:t xml:space="preserve"> </w:t>
      </w:r>
    </w:p>
    <w:p w:rsidR="008525FD" w:rsidRPr="003A4D13" w:rsidRDefault="008525FD" w:rsidP="008525FD">
      <w:pPr>
        <w:spacing w:line="276" w:lineRule="auto"/>
        <w:jc w:val="both"/>
        <w:rPr>
          <w:rFonts w:ascii="Book Antiqua" w:hAnsi="Book Antiqua" w:cs="Tahoma"/>
        </w:rPr>
      </w:pPr>
      <w:r w:rsidRPr="003A4D13">
        <w:rPr>
          <w:rFonts w:ascii="Book Antiqua" w:hAnsi="Book Antiqua" w:cs="Tahoma"/>
        </w:rPr>
        <w:t xml:space="preserve">In the context of paragraph 19, it may be noted that under the Reparations Act which was passed into law in October 2018, </w:t>
      </w:r>
      <w:r w:rsidRPr="00FA1EF0">
        <w:rPr>
          <w:rFonts w:ascii="Book Antiqua" w:hAnsi="Book Antiqua" w:cs="Tahoma"/>
        </w:rPr>
        <w:t>three Commissioners have been recommended for appointment by the Constitutional Council and in the 2019 Budget</w:t>
      </w:r>
      <w:r>
        <w:rPr>
          <w:rFonts w:ascii="Book Antiqua" w:hAnsi="Book Antiqua" w:cs="Tahoma"/>
        </w:rPr>
        <w:t>,</w:t>
      </w:r>
      <w:r w:rsidRPr="003A4D13">
        <w:rPr>
          <w:rFonts w:ascii="Book Antiqua" w:hAnsi="Book Antiqua" w:cs="Tahoma"/>
        </w:rPr>
        <w:t xml:space="preserve"> the Government has allocated Rs. 500 million to pay a monthly allowance for families of disappeared persons who have received the certificate of absence. </w:t>
      </w:r>
    </w:p>
    <w:p w:rsidR="008525FD" w:rsidRPr="003A4D13" w:rsidRDefault="008525FD" w:rsidP="008525FD">
      <w:pPr>
        <w:spacing w:line="276" w:lineRule="auto"/>
        <w:jc w:val="both"/>
        <w:rPr>
          <w:rFonts w:ascii="Book Antiqua" w:hAnsi="Book Antiqua" w:cs="Tahoma"/>
        </w:rPr>
      </w:pPr>
      <w:r w:rsidRPr="003A4D13">
        <w:rPr>
          <w:rFonts w:ascii="Book Antiqua" w:hAnsi="Book Antiqua" w:cs="Tahoma"/>
        </w:rPr>
        <w:t>With reference to paragraph 23 of the Report with regard to the discovery of human skeletal remains in Mannar on 29</w:t>
      </w:r>
      <w:r w:rsidRPr="003A4D13">
        <w:rPr>
          <w:rFonts w:ascii="Book Antiqua" w:hAnsi="Book Antiqua" w:cs="Tahoma"/>
          <w:vertAlign w:val="superscript"/>
        </w:rPr>
        <w:t>th</w:t>
      </w:r>
      <w:r w:rsidRPr="003A4D13">
        <w:rPr>
          <w:rFonts w:ascii="Book Antiqua" w:hAnsi="Book Antiqua" w:cs="Tahoma"/>
        </w:rPr>
        <w:t xml:space="preserve"> May 2018, this matter is a case in point for the need </w:t>
      </w:r>
      <w:r>
        <w:rPr>
          <w:rFonts w:ascii="Book Antiqua" w:hAnsi="Book Antiqua" w:cs="Tahoma"/>
        </w:rPr>
        <w:t xml:space="preserve">to exercise </w:t>
      </w:r>
      <w:r w:rsidRPr="003A4D13">
        <w:rPr>
          <w:rFonts w:ascii="Book Antiqua" w:hAnsi="Book Antiqua" w:cs="Tahoma"/>
        </w:rPr>
        <w:t xml:space="preserve">caution in approaching issues of this nature. Contrary to pre-conceived notions, it was scientifically established that the </w:t>
      </w:r>
      <w:r>
        <w:rPr>
          <w:rFonts w:ascii="Book Antiqua" w:hAnsi="Book Antiqua" w:cs="Tahoma"/>
        </w:rPr>
        <w:t xml:space="preserve">recovered </w:t>
      </w:r>
      <w:r w:rsidRPr="003A4D13">
        <w:rPr>
          <w:rFonts w:ascii="Book Antiqua" w:hAnsi="Book Antiqua" w:cs="Tahoma"/>
        </w:rPr>
        <w:t xml:space="preserve">skeletal remains had no nexus to the conflict. Having been facilitated through the Office of Missing Persons (OMP), the test results obtained from a USA laboratory have revealed that the said skeletal remains date back to 1499-1719 AD - a period when Sri Lanka was largely under European colonial rule. This is yet another instance that demonstrates that allegations and </w:t>
      </w:r>
      <w:r>
        <w:rPr>
          <w:rFonts w:ascii="Book Antiqua" w:hAnsi="Book Antiqua" w:cs="Tahoma"/>
        </w:rPr>
        <w:t xml:space="preserve">mere </w:t>
      </w:r>
      <w:r w:rsidRPr="003A4D13">
        <w:rPr>
          <w:rFonts w:ascii="Book Antiqua" w:hAnsi="Book Antiqua" w:cs="Tahoma"/>
        </w:rPr>
        <w:t>collection of data should not be pre-judged to cast unjustified aspersions. It also amply demonstrates the need for allegations to always be subject to the due process of investigation in accordance with established legal procedures and not be hastily credited to support unfounded assumptions.</w:t>
      </w:r>
    </w:p>
    <w:p w:rsidR="008525FD" w:rsidRPr="003A4D13" w:rsidRDefault="008525FD" w:rsidP="008525FD">
      <w:pPr>
        <w:spacing w:line="276" w:lineRule="auto"/>
        <w:jc w:val="both"/>
        <w:rPr>
          <w:rFonts w:ascii="Book Antiqua" w:hAnsi="Book Antiqua" w:cs="Tahoma"/>
        </w:rPr>
      </w:pPr>
      <w:r w:rsidRPr="003A4D13">
        <w:rPr>
          <w:rFonts w:ascii="Book Antiqua" w:hAnsi="Book Antiqua" w:cs="Tahoma"/>
        </w:rPr>
        <w:t>With reference to paragraph 25 of the Report, the amendments suggested by the Supreme Court to the content of the Bill on the “Office</w:t>
      </w:r>
      <w:r>
        <w:rPr>
          <w:rFonts w:ascii="Book Antiqua" w:hAnsi="Book Antiqua" w:cs="Tahoma"/>
        </w:rPr>
        <w:t xml:space="preserve"> for</w:t>
      </w:r>
      <w:r w:rsidRPr="003A4D13">
        <w:rPr>
          <w:rFonts w:ascii="Book Antiqua" w:hAnsi="Book Antiqua" w:cs="Tahoma"/>
        </w:rPr>
        <w:t xml:space="preserve"> Reparations” complies with the basic structure of our Constitution that recognizes a functional separation of powers pertaining to organs of government. The incorporation of amendments suggested by the Supreme Court, considered by the Parliament to make amendments to the Reparation Law, is a mandatory process that ensures the constitutionality of the said law.  Furthermore, contrary to your observation , it may be noted that the proposed amendments suggested by the Supreme Court broadens its applicability to  persons who could seek redress before the Office </w:t>
      </w:r>
      <w:r>
        <w:rPr>
          <w:rFonts w:ascii="Book Antiqua" w:hAnsi="Book Antiqua" w:cs="Tahoma"/>
        </w:rPr>
        <w:t>for</w:t>
      </w:r>
      <w:r w:rsidRPr="003A4D13">
        <w:rPr>
          <w:rFonts w:ascii="Book Antiqua" w:hAnsi="Book Antiqua" w:cs="Tahoma"/>
        </w:rPr>
        <w:t xml:space="preserve"> Reparations, since complaints that can be received and considered, both individually and collectively by the Office, would no longer be limited to alleged violations of human rights or International Humanitarian Law, but would inter alia in terms of the definition provided in section 27</w:t>
      </w:r>
      <w:r>
        <w:rPr>
          <w:rFonts w:ascii="Book Antiqua" w:hAnsi="Book Antiqua" w:cs="Tahoma"/>
        </w:rPr>
        <w:t xml:space="preserve"> of the Act</w:t>
      </w:r>
      <w:r w:rsidRPr="003A4D13">
        <w:rPr>
          <w:rFonts w:ascii="Book Antiqua" w:hAnsi="Book Antiqua" w:cs="Tahoma"/>
        </w:rPr>
        <w:t xml:space="preserve">, </w:t>
      </w:r>
      <w:r>
        <w:rPr>
          <w:rFonts w:ascii="Book Antiqua" w:hAnsi="Book Antiqua" w:cs="Tahoma"/>
        </w:rPr>
        <w:t xml:space="preserve">include </w:t>
      </w:r>
      <w:r w:rsidRPr="003A4D13">
        <w:rPr>
          <w:rFonts w:ascii="Book Antiqua" w:hAnsi="Book Antiqua" w:cs="Tahoma"/>
        </w:rPr>
        <w:t xml:space="preserve">– persons who have suffered damage as a result of loss of life or damage to their person or property – such damage being in the nature of prolonged and grave damage suffered by individuals groups or communities of people of Sri Lanka. </w:t>
      </w:r>
    </w:p>
    <w:p w:rsidR="008525FD" w:rsidRDefault="008525FD" w:rsidP="008525FD">
      <w:pPr>
        <w:spacing w:line="276" w:lineRule="auto"/>
        <w:jc w:val="both"/>
        <w:rPr>
          <w:rFonts w:ascii="Book Antiqua" w:hAnsi="Book Antiqua"/>
        </w:rPr>
      </w:pPr>
      <w:r>
        <w:rPr>
          <w:rFonts w:ascii="Book Antiqua" w:hAnsi="Book Antiqua"/>
        </w:rPr>
        <w:t>Madam High Commissioner,</w:t>
      </w:r>
    </w:p>
    <w:p w:rsidR="008525FD" w:rsidRPr="003A4D13" w:rsidRDefault="008525FD" w:rsidP="008525FD">
      <w:pPr>
        <w:spacing w:line="276" w:lineRule="auto"/>
        <w:jc w:val="both"/>
        <w:rPr>
          <w:rFonts w:ascii="Book Antiqua" w:hAnsi="Book Antiqua"/>
        </w:rPr>
      </w:pPr>
      <w:r>
        <w:rPr>
          <w:rFonts w:ascii="Book Antiqua" w:hAnsi="Book Antiqua"/>
        </w:rPr>
        <w:t>At a time the world is confronted with increasing acts of terrorism and violent extremism, a</w:t>
      </w:r>
      <w:r w:rsidRPr="003A4D13">
        <w:rPr>
          <w:rFonts w:ascii="Book Antiqua" w:hAnsi="Book Antiqua"/>
        </w:rPr>
        <w:t xml:space="preserve">s I stated before this </w:t>
      </w:r>
      <w:r>
        <w:rPr>
          <w:rFonts w:ascii="Book Antiqua" w:hAnsi="Book Antiqua"/>
        </w:rPr>
        <w:t xml:space="preserve">Council </w:t>
      </w:r>
      <w:r w:rsidRPr="003A4D13">
        <w:rPr>
          <w:rFonts w:ascii="Book Antiqua" w:hAnsi="Book Antiqua"/>
        </w:rPr>
        <w:t xml:space="preserve">last year, the action by the Sri Lankan security forces during the conflict was against a group designated as a terrorist </w:t>
      </w:r>
      <w:r>
        <w:rPr>
          <w:rFonts w:ascii="Book Antiqua" w:hAnsi="Book Antiqua"/>
        </w:rPr>
        <w:t xml:space="preserve">organization </w:t>
      </w:r>
      <w:r w:rsidRPr="003A4D13">
        <w:rPr>
          <w:rFonts w:ascii="Book Antiqua" w:hAnsi="Book Antiqua"/>
        </w:rPr>
        <w:t>by many countries, and not against any community. The  modus operandi of th</w:t>
      </w:r>
      <w:r>
        <w:rPr>
          <w:rFonts w:ascii="Book Antiqua" w:hAnsi="Book Antiqua"/>
        </w:rPr>
        <w:t>is</w:t>
      </w:r>
      <w:r w:rsidRPr="003A4D13">
        <w:rPr>
          <w:rFonts w:ascii="Book Antiqua" w:hAnsi="Book Antiqua"/>
        </w:rPr>
        <w:t xml:space="preserve"> terrorist group, which for the first time in recent history deliberately targeted civilians, have now been adopted by terrorist groups all over the world. All communities in Sri Lanka were united against terrorism, and now that terrorism has been defeated, all communities are working in unison towards reconciliation and economic progress. </w:t>
      </w:r>
    </w:p>
    <w:p w:rsidR="008525FD" w:rsidRPr="003A4D13" w:rsidRDefault="008525FD" w:rsidP="008525FD">
      <w:pPr>
        <w:spacing w:line="276" w:lineRule="auto"/>
        <w:jc w:val="both"/>
        <w:rPr>
          <w:rFonts w:ascii="Book Antiqua" w:hAnsi="Book Antiqua" w:cs="Tahoma"/>
        </w:rPr>
      </w:pPr>
      <w:r w:rsidRPr="003A4D13">
        <w:rPr>
          <w:rFonts w:ascii="Book Antiqua" w:hAnsi="Book Antiqua" w:cs="Tahoma"/>
        </w:rPr>
        <w:t xml:space="preserve">Hence, in the context of paragraph 27 and 29, with reference to criminal accountability, it must be re-stated that Sri Lanka guarantees to all its citizens their rights in accordance with the constitutional and judicial process of Sri Lanka. However, the reference in the said paragraph to the abundant evidence that the </w:t>
      </w:r>
      <w:r>
        <w:rPr>
          <w:rFonts w:ascii="Book Antiqua" w:hAnsi="Book Antiqua" w:cs="Tahoma"/>
        </w:rPr>
        <w:t xml:space="preserve">ordinary </w:t>
      </w:r>
      <w:r w:rsidRPr="003A4D13">
        <w:rPr>
          <w:rFonts w:ascii="Book Antiqua" w:hAnsi="Book Antiqua" w:cs="Tahoma"/>
        </w:rPr>
        <w:t xml:space="preserve">criminal justice system is unable to deal with the nature of the allegations, </w:t>
      </w:r>
      <w:r>
        <w:rPr>
          <w:rFonts w:ascii="Book Antiqua" w:hAnsi="Book Antiqua" w:cs="Tahoma"/>
        </w:rPr>
        <w:t xml:space="preserve">and the complexity of the crimes </w:t>
      </w:r>
      <w:r w:rsidRPr="003A4D13">
        <w:rPr>
          <w:rFonts w:ascii="Book Antiqua" w:hAnsi="Book Antiqua" w:cs="Tahoma"/>
        </w:rPr>
        <w:t xml:space="preserve">is misconceived. On the contrary, the judicial system in Sri Lanka is adequately equipped to deal with complex crimes.. Criminal investigations </w:t>
      </w:r>
      <w:r>
        <w:rPr>
          <w:rFonts w:ascii="Book Antiqua" w:hAnsi="Book Antiqua" w:cs="Tahoma"/>
        </w:rPr>
        <w:t xml:space="preserve">pertaining </w:t>
      </w:r>
      <w:r w:rsidRPr="003A4D13">
        <w:rPr>
          <w:rFonts w:ascii="Book Antiqua" w:hAnsi="Book Antiqua" w:cs="Tahoma"/>
        </w:rPr>
        <w:t xml:space="preserve">to </w:t>
      </w:r>
      <w:r>
        <w:rPr>
          <w:rFonts w:ascii="Book Antiqua" w:hAnsi="Book Antiqua" w:cs="Tahoma"/>
        </w:rPr>
        <w:t xml:space="preserve">cases </w:t>
      </w:r>
      <w:r w:rsidRPr="003A4D13">
        <w:rPr>
          <w:rFonts w:ascii="Book Antiqua" w:hAnsi="Book Antiqua" w:cs="Tahoma"/>
        </w:rPr>
        <w:t xml:space="preserve">referred have been </w:t>
      </w:r>
      <w:r>
        <w:rPr>
          <w:rFonts w:ascii="Book Antiqua" w:hAnsi="Book Antiqua" w:cs="Tahoma"/>
        </w:rPr>
        <w:t xml:space="preserve">taken congnizance of </w:t>
      </w:r>
      <w:r w:rsidRPr="003A4D13">
        <w:rPr>
          <w:rFonts w:ascii="Book Antiqua" w:hAnsi="Book Antiqua" w:cs="Tahoma"/>
        </w:rPr>
        <w:t xml:space="preserve"> </w:t>
      </w:r>
      <w:r>
        <w:rPr>
          <w:rFonts w:ascii="Book Antiqua" w:hAnsi="Book Antiqua" w:cs="Tahoma"/>
        </w:rPr>
        <w:t xml:space="preserve"> by</w:t>
      </w:r>
      <w:r w:rsidRPr="003A4D13">
        <w:rPr>
          <w:rFonts w:ascii="Book Antiqua" w:hAnsi="Book Antiqua" w:cs="Tahoma"/>
        </w:rPr>
        <w:t xml:space="preserve"> the investigating agencies to be conducted under established legal procedures and </w:t>
      </w:r>
      <w:r>
        <w:rPr>
          <w:rFonts w:ascii="Book Antiqua" w:hAnsi="Book Antiqua" w:cs="Tahoma"/>
        </w:rPr>
        <w:t xml:space="preserve">are </w:t>
      </w:r>
      <w:r w:rsidRPr="003A4D13">
        <w:rPr>
          <w:rFonts w:ascii="Book Antiqua" w:hAnsi="Book Antiqua" w:cs="Tahoma"/>
        </w:rPr>
        <w:t xml:space="preserve">periodically </w:t>
      </w:r>
      <w:r>
        <w:rPr>
          <w:rFonts w:ascii="Book Antiqua" w:hAnsi="Book Antiqua" w:cs="Tahoma"/>
        </w:rPr>
        <w:t xml:space="preserve">being </w:t>
      </w:r>
      <w:r w:rsidRPr="003A4D13">
        <w:rPr>
          <w:rFonts w:ascii="Book Antiqua" w:hAnsi="Book Antiqua" w:cs="Tahoma"/>
        </w:rPr>
        <w:t xml:space="preserve">monitored in terms of the judicial process. Any complex criminal investigation is time consuming. The acknowledgement in paragraph 20 of the report that ‘victim tracing procedures’ require thorough assessments in multiple areas and takes time, is an indicator that establishes the </w:t>
      </w:r>
      <w:r>
        <w:rPr>
          <w:rFonts w:ascii="Book Antiqua" w:hAnsi="Book Antiqua" w:cs="Tahoma"/>
        </w:rPr>
        <w:t xml:space="preserve">said </w:t>
      </w:r>
      <w:r w:rsidRPr="003A4D13">
        <w:rPr>
          <w:rFonts w:ascii="Book Antiqua" w:hAnsi="Book Antiqua" w:cs="Tahoma"/>
        </w:rPr>
        <w:t xml:space="preserve">assertion. It also negates </w:t>
      </w:r>
      <w:r>
        <w:rPr>
          <w:rFonts w:ascii="Book Antiqua" w:hAnsi="Book Antiqua" w:cs="Tahoma"/>
        </w:rPr>
        <w:t>the</w:t>
      </w:r>
      <w:r w:rsidRPr="003A4D13">
        <w:rPr>
          <w:rFonts w:ascii="Book Antiqua" w:hAnsi="Book Antiqua" w:cs="Tahoma"/>
        </w:rPr>
        <w:t xml:space="preserve"> alleged inability of the Sri Lankan criminal justice system to deal with the nature of allegations and complexity of crimes. </w:t>
      </w:r>
    </w:p>
    <w:p w:rsidR="008525FD" w:rsidRPr="003A4D13" w:rsidRDefault="008525FD" w:rsidP="008525FD">
      <w:pPr>
        <w:spacing w:line="276" w:lineRule="auto"/>
        <w:jc w:val="both"/>
        <w:rPr>
          <w:rFonts w:ascii="Book Antiqua" w:hAnsi="Book Antiqua" w:cs="Tahoma"/>
          <w:b/>
          <w:bCs/>
        </w:rPr>
      </w:pPr>
      <w:r w:rsidRPr="003A4D13">
        <w:rPr>
          <w:rFonts w:ascii="Book Antiqua" w:hAnsi="Book Antiqua" w:cs="Tahoma"/>
        </w:rPr>
        <w:t xml:space="preserve">Further, it must be asserted that there are no </w:t>
      </w:r>
      <w:r>
        <w:rPr>
          <w:rFonts w:ascii="Book Antiqua" w:hAnsi="Book Antiqua" w:cs="Tahoma"/>
        </w:rPr>
        <w:t xml:space="preserve">proven </w:t>
      </w:r>
      <w:r w:rsidRPr="003A4D13">
        <w:rPr>
          <w:rFonts w:ascii="Book Antiqua" w:hAnsi="Book Antiqua" w:cs="Tahoma"/>
        </w:rPr>
        <w:t xml:space="preserve">allegations against individuals on war crimes or crimes against humanity in the OISL report of 2015 or in any subsequent official document. </w:t>
      </w:r>
      <w:r>
        <w:rPr>
          <w:rFonts w:ascii="Book Antiqua" w:hAnsi="Book Antiqua" w:cs="Tahoma"/>
        </w:rPr>
        <w:t>I</w:t>
      </w:r>
      <w:r w:rsidRPr="003A4D13">
        <w:rPr>
          <w:rFonts w:ascii="Book Antiqua" w:hAnsi="Book Antiqua" w:cs="Tahoma"/>
        </w:rPr>
        <w:t xml:space="preserve">t is an injustice to deprive </w:t>
      </w:r>
      <w:r>
        <w:rPr>
          <w:rFonts w:ascii="Book Antiqua" w:hAnsi="Book Antiqua" w:cs="Tahoma"/>
        </w:rPr>
        <w:t xml:space="preserve">any serving or retired officer </w:t>
      </w:r>
      <w:r w:rsidRPr="003A4D13">
        <w:rPr>
          <w:rFonts w:ascii="Book Antiqua" w:hAnsi="Book Antiqua" w:cs="Tahoma"/>
        </w:rPr>
        <w:t xml:space="preserve">of the Sri Lankan security forces </w:t>
      </w:r>
      <w:r>
        <w:rPr>
          <w:rFonts w:ascii="Book Antiqua" w:hAnsi="Book Antiqua" w:cs="Tahoma"/>
        </w:rPr>
        <w:t xml:space="preserve">or the </w:t>
      </w:r>
      <w:r w:rsidRPr="003A4D13">
        <w:rPr>
          <w:rFonts w:ascii="Book Antiqua" w:hAnsi="Book Antiqua" w:cs="Tahoma"/>
        </w:rPr>
        <w:t>police their due rights</w:t>
      </w:r>
      <w:r>
        <w:rPr>
          <w:rFonts w:ascii="Book Antiqua" w:hAnsi="Book Antiqua" w:cs="Tahoma"/>
        </w:rPr>
        <w:t xml:space="preserve">. </w:t>
      </w:r>
      <w:r w:rsidRPr="003A4D13">
        <w:rPr>
          <w:rFonts w:ascii="Book Antiqua" w:hAnsi="Book Antiqua" w:cs="Tahoma"/>
        </w:rPr>
        <w:t xml:space="preserve"> </w:t>
      </w:r>
    </w:p>
    <w:p w:rsidR="008525FD" w:rsidRPr="003A4D13" w:rsidRDefault="008525FD" w:rsidP="008525FD">
      <w:pPr>
        <w:shd w:val="clear" w:color="auto" w:fill="FFFFFF"/>
        <w:spacing w:line="276" w:lineRule="auto"/>
        <w:jc w:val="both"/>
        <w:rPr>
          <w:rFonts w:ascii="Book Antiqua" w:hAnsi="Book Antiqua"/>
          <w:color w:val="222222"/>
          <w:shd w:val="clear" w:color="auto" w:fill="FFFFFF"/>
        </w:rPr>
      </w:pPr>
      <w:r>
        <w:rPr>
          <w:rFonts w:ascii="Book Antiqua" w:hAnsi="Book Antiqua"/>
          <w:color w:val="222222"/>
          <w:shd w:val="clear" w:color="auto" w:fill="FFFFFF"/>
        </w:rPr>
        <w:t xml:space="preserve">There has been </w:t>
      </w:r>
      <w:r w:rsidRPr="003A4D13">
        <w:rPr>
          <w:rFonts w:ascii="Book Antiqua" w:hAnsi="Book Antiqua"/>
          <w:color w:val="222222"/>
          <w:shd w:val="clear" w:color="auto" w:fill="FFFFFF"/>
        </w:rPr>
        <w:t xml:space="preserve">persistent </w:t>
      </w:r>
      <w:r>
        <w:rPr>
          <w:rFonts w:ascii="Book Antiqua" w:hAnsi="Book Antiqua"/>
          <w:color w:val="222222"/>
          <w:shd w:val="clear" w:color="auto" w:fill="FFFFFF"/>
        </w:rPr>
        <w:t xml:space="preserve">and repeated reference in official documents of the OHCHR and this Council to </w:t>
      </w:r>
      <w:r w:rsidRPr="003A4D13">
        <w:rPr>
          <w:rFonts w:ascii="Book Antiqua" w:hAnsi="Book Antiqua"/>
          <w:color w:val="222222"/>
          <w:shd w:val="clear" w:color="auto" w:fill="FFFFFF"/>
        </w:rPr>
        <w:t xml:space="preserve">exaggerated numbers as the alleged death toll during the last stages of the conflict. These assertions remain in direct contradiction to independent assessments sent by foreign missions, UN agencies as well as other international organizations, including the ICRC – </w:t>
      </w:r>
      <w:r>
        <w:rPr>
          <w:rFonts w:ascii="Book Antiqua" w:hAnsi="Book Antiqua"/>
          <w:color w:val="222222"/>
          <w:shd w:val="clear" w:color="auto" w:fill="FFFFFF"/>
        </w:rPr>
        <w:t xml:space="preserve">and  </w:t>
      </w:r>
      <w:r w:rsidRPr="003A4D13">
        <w:rPr>
          <w:rFonts w:ascii="Book Antiqua" w:hAnsi="Book Antiqua"/>
          <w:color w:val="222222"/>
          <w:shd w:val="clear" w:color="auto" w:fill="FFFFFF"/>
        </w:rPr>
        <w:t>some heavily redacted accounts of which have been presented not only in the House of Lords in the UK on 12 October 2017</w:t>
      </w:r>
      <w:r>
        <w:rPr>
          <w:rFonts w:ascii="Book Antiqua" w:hAnsi="Book Antiqua"/>
          <w:color w:val="222222"/>
          <w:shd w:val="clear" w:color="auto" w:fill="FFFFFF"/>
        </w:rPr>
        <w:t>,</w:t>
      </w:r>
      <w:r w:rsidRPr="003A4D13">
        <w:rPr>
          <w:rFonts w:ascii="Book Antiqua" w:hAnsi="Book Antiqua"/>
          <w:color w:val="222222"/>
          <w:shd w:val="clear" w:color="auto" w:fill="FFFFFF"/>
        </w:rPr>
        <w:t xml:space="preserve"> citing dispatches by the UK Defence Attaché in Colombo during the last stages of the conflict, but also in writings by academics and journalists which is found in the public domain</w:t>
      </w:r>
      <w:r w:rsidRPr="003A4D13">
        <w:rPr>
          <w:rStyle w:val="FootnoteReference"/>
          <w:rFonts w:ascii="Book Antiqua" w:hAnsi="Book Antiqua"/>
          <w:color w:val="222222"/>
          <w:shd w:val="clear" w:color="auto" w:fill="FFFFFF"/>
        </w:rPr>
        <w:footnoteReference w:id="1"/>
      </w:r>
      <w:r w:rsidRPr="003A4D13">
        <w:rPr>
          <w:rFonts w:ascii="Book Antiqua" w:hAnsi="Book Antiqua"/>
          <w:color w:val="222222"/>
          <w:shd w:val="clear" w:color="auto" w:fill="FFFFFF"/>
        </w:rPr>
        <w:t>.</w:t>
      </w:r>
    </w:p>
    <w:p w:rsidR="008525FD" w:rsidRDefault="008525FD" w:rsidP="008525FD">
      <w:pPr>
        <w:shd w:val="clear" w:color="auto" w:fill="FFFFFF"/>
        <w:spacing w:line="276" w:lineRule="auto"/>
        <w:jc w:val="both"/>
        <w:rPr>
          <w:rFonts w:ascii="Book Antiqua" w:hAnsi="Book Antiqua"/>
          <w:color w:val="222222"/>
          <w:shd w:val="clear" w:color="auto" w:fill="FFFFFF"/>
        </w:rPr>
      </w:pPr>
      <w:r w:rsidRPr="003A4D13">
        <w:rPr>
          <w:rFonts w:ascii="Book Antiqua" w:hAnsi="Book Antiqua"/>
          <w:color w:val="222222"/>
          <w:shd w:val="clear" w:color="auto" w:fill="FFFFFF"/>
        </w:rPr>
        <w:t xml:space="preserve">The Government of Sri Lanka believes that it is indeed </w:t>
      </w:r>
      <w:r>
        <w:rPr>
          <w:rFonts w:ascii="Book Antiqua" w:hAnsi="Book Antiqua"/>
          <w:color w:val="222222"/>
          <w:shd w:val="clear" w:color="auto" w:fill="FFFFFF"/>
        </w:rPr>
        <w:t>erroneous</w:t>
      </w:r>
      <w:r w:rsidRPr="003A4D13">
        <w:rPr>
          <w:rFonts w:ascii="Book Antiqua" w:hAnsi="Book Antiqua"/>
          <w:color w:val="222222"/>
          <w:shd w:val="clear" w:color="auto" w:fill="FFFFFF"/>
        </w:rPr>
        <w:t xml:space="preserve"> that more attention has not been paid to </w:t>
      </w:r>
      <w:r>
        <w:rPr>
          <w:rFonts w:ascii="Book Antiqua" w:hAnsi="Book Antiqua"/>
          <w:color w:val="222222"/>
          <w:shd w:val="clear" w:color="auto" w:fill="FFFFFF"/>
        </w:rPr>
        <w:t xml:space="preserve">the above mentioned </w:t>
      </w:r>
      <w:r w:rsidRPr="003A4D13">
        <w:rPr>
          <w:rFonts w:ascii="Book Antiqua" w:hAnsi="Book Antiqua"/>
          <w:color w:val="222222"/>
          <w:shd w:val="clear" w:color="auto" w:fill="FFFFFF"/>
        </w:rPr>
        <w:t xml:space="preserve">information, </w:t>
      </w:r>
      <w:r>
        <w:rPr>
          <w:rFonts w:ascii="Book Antiqua" w:hAnsi="Book Antiqua"/>
          <w:color w:val="222222"/>
          <w:shd w:val="clear" w:color="auto" w:fill="FFFFFF"/>
        </w:rPr>
        <w:t xml:space="preserve">by agencies </w:t>
      </w:r>
      <w:r w:rsidRPr="003A4D13">
        <w:rPr>
          <w:rFonts w:ascii="Book Antiqua" w:hAnsi="Book Antiqua"/>
          <w:color w:val="222222"/>
          <w:shd w:val="clear" w:color="auto" w:fill="FFFFFF"/>
        </w:rPr>
        <w:t>including the OHCHR</w:t>
      </w:r>
      <w:r>
        <w:rPr>
          <w:rFonts w:ascii="Book Antiqua" w:hAnsi="Book Antiqua"/>
          <w:color w:val="222222"/>
          <w:shd w:val="clear" w:color="auto" w:fill="FFFFFF"/>
        </w:rPr>
        <w:t>,</w:t>
      </w:r>
      <w:r w:rsidRPr="003A4D13">
        <w:rPr>
          <w:rFonts w:ascii="Book Antiqua" w:hAnsi="Book Antiqua"/>
          <w:color w:val="222222"/>
          <w:shd w:val="clear" w:color="auto" w:fill="FFFFFF"/>
        </w:rPr>
        <w:t xml:space="preserve"> which is required to seek the truth.</w:t>
      </w:r>
    </w:p>
    <w:p w:rsidR="008525FD" w:rsidRDefault="008525FD" w:rsidP="008525FD">
      <w:pPr>
        <w:shd w:val="clear" w:color="auto" w:fill="FFFFFF"/>
        <w:spacing w:line="276" w:lineRule="auto"/>
        <w:jc w:val="both"/>
        <w:rPr>
          <w:rFonts w:ascii="Book Antiqua" w:hAnsi="Book Antiqua"/>
          <w:color w:val="222222"/>
          <w:shd w:val="clear" w:color="auto" w:fill="FFFFFF"/>
        </w:rPr>
      </w:pPr>
    </w:p>
    <w:p w:rsidR="008525FD" w:rsidRPr="003A4D13" w:rsidRDefault="008525FD" w:rsidP="008525FD">
      <w:pPr>
        <w:shd w:val="clear" w:color="auto" w:fill="FFFFFF"/>
        <w:spacing w:line="276" w:lineRule="auto"/>
        <w:jc w:val="both"/>
        <w:rPr>
          <w:rFonts w:ascii="Book Antiqua" w:hAnsi="Book Antiqua"/>
          <w:color w:val="222222"/>
          <w:shd w:val="clear" w:color="auto" w:fill="FFFFFF"/>
        </w:rPr>
      </w:pPr>
    </w:p>
    <w:p w:rsidR="008525FD" w:rsidRPr="003A4D13" w:rsidRDefault="008525FD" w:rsidP="008525FD">
      <w:pPr>
        <w:spacing w:line="276" w:lineRule="auto"/>
        <w:jc w:val="both"/>
        <w:rPr>
          <w:rFonts w:ascii="Book Antiqua" w:hAnsi="Book Antiqua" w:cs="Tahoma"/>
        </w:rPr>
      </w:pPr>
      <w:r w:rsidRPr="003A4D13">
        <w:rPr>
          <w:rFonts w:ascii="Book Antiqua" w:hAnsi="Book Antiqua" w:cs="Tahoma"/>
        </w:rPr>
        <w:t xml:space="preserve">With reference to paragraph 31, it must be noted that constitutional reform is a continuing process conducted in accordance with the procedures of Parliament, which has moved forward unimpeded notwithstanding other political developments in the country. This process requires addressing all issues relevant to the diverse populace of Sri Lanka and is necessarily embarked upon taking cognizance of the concerns of all stakeholders. </w:t>
      </w:r>
    </w:p>
    <w:p w:rsidR="008525FD" w:rsidRPr="003A4D13" w:rsidRDefault="008525FD" w:rsidP="008525FD">
      <w:pPr>
        <w:spacing w:line="276" w:lineRule="auto"/>
        <w:jc w:val="both"/>
        <w:rPr>
          <w:rFonts w:ascii="Book Antiqua" w:hAnsi="Book Antiqua" w:cs="Tahoma"/>
        </w:rPr>
      </w:pPr>
      <w:r w:rsidRPr="003A4D13">
        <w:rPr>
          <w:rFonts w:ascii="Book Antiqua" w:hAnsi="Book Antiqua" w:cs="Tahoma"/>
        </w:rPr>
        <w:t xml:space="preserve">Madam High Commissioner, </w:t>
      </w:r>
    </w:p>
    <w:p w:rsidR="008525FD" w:rsidRDefault="008525FD" w:rsidP="008525FD">
      <w:pPr>
        <w:spacing w:line="276" w:lineRule="auto"/>
        <w:jc w:val="both"/>
        <w:rPr>
          <w:rFonts w:ascii="Book Antiqua" w:hAnsi="Book Antiqua" w:cs="Tahoma"/>
        </w:rPr>
      </w:pPr>
      <w:r w:rsidRPr="003A4D13">
        <w:rPr>
          <w:rFonts w:ascii="Book Antiqua" w:hAnsi="Book Antiqua" w:cs="Tahoma"/>
        </w:rPr>
        <w:t xml:space="preserve">With reference to paragraph 32, it may be noted that the draft legislation with regard to </w:t>
      </w:r>
      <w:r>
        <w:rPr>
          <w:rFonts w:ascii="Book Antiqua" w:hAnsi="Book Antiqua" w:cs="Tahoma"/>
        </w:rPr>
        <w:t xml:space="preserve">the </w:t>
      </w:r>
      <w:r w:rsidRPr="003A4D13">
        <w:rPr>
          <w:rFonts w:ascii="Book Antiqua" w:hAnsi="Book Antiqua" w:cs="Tahoma"/>
        </w:rPr>
        <w:t xml:space="preserve">counter terrorism law had inputs from a multiplicity of stakeholders, as well as technical assistance from UN agencies, who were fully engaged in developing the proposed draft to ensure compliance with international norms and best practices. In this exercise, all stakeholders were afforded the opportunity to contest the contents of the proposed Bill before the Supreme Court of Sri Lanka, which was availed of by several parties. Accordingly, the contested sections have received consideration of the Supreme Court and its views on the contents of the Bill are now before the Sectoral Oversight Committee on International Relations in Parliament, where committed discussions have been held, including with civil society. It is also pertinent to note that certain segments of Sri Lanka’s civil society have advocated the repeal of the PTA and non-introduction of any further legislation to deal with terrorism-related issues.  These matters that have been placed before the Oversight Committee of Parliament, have resulted in a further prolonged deliberation process in enacting the CTA. </w:t>
      </w:r>
    </w:p>
    <w:p w:rsidR="008525FD" w:rsidRPr="003A4D13" w:rsidRDefault="008525FD" w:rsidP="008525FD">
      <w:pPr>
        <w:spacing w:line="276" w:lineRule="auto"/>
        <w:jc w:val="both"/>
        <w:rPr>
          <w:rFonts w:ascii="Book Antiqua" w:hAnsi="Book Antiqua" w:cs="Times New Roman"/>
        </w:rPr>
      </w:pPr>
      <w:r w:rsidRPr="003A4D13">
        <w:rPr>
          <w:rFonts w:ascii="Book Antiqua" w:hAnsi="Book Antiqua" w:cs="Times New Roman"/>
        </w:rPr>
        <w:t xml:space="preserve">With reference to the paragraph 35, Sri Lanka appreciates the recognition by the Council of the considerable efforts taken by GOSL in releasing lands held by the security forces. </w:t>
      </w:r>
    </w:p>
    <w:p w:rsidR="008525FD" w:rsidRPr="003A4D13" w:rsidRDefault="008525FD" w:rsidP="008525FD">
      <w:pPr>
        <w:spacing w:line="276" w:lineRule="auto"/>
        <w:jc w:val="both"/>
        <w:rPr>
          <w:rFonts w:ascii="Book Antiqua" w:hAnsi="Book Antiqua" w:cs="Tahoma"/>
        </w:rPr>
      </w:pPr>
      <w:r w:rsidRPr="003A4D13">
        <w:rPr>
          <w:rFonts w:ascii="Book Antiqua" w:hAnsi="Book Antiqua" w:cs="Times New Roman"/>
        </w:rPr>
        <w:t>As I pointed out in the Sri Lanka Parliament on 14</w:t>
      </w:r>
      <w:r w:rsidRPr="003A4D13">
        <w:rPr>
          <w:rFonts w:ascii="Book Antiqua" w:hAnsi="Book Antiqua" w:cs="Times New Roman"/>
          <w:vertAlign w:val="superscript"/>
        </w:rPr>
        <w:t>th</w:t>
      </w:r>
      <w:r w:rsidRPr="003A4D13">
        <w:rPr>
          <w:rFonts w:ascii="Book Antiqua" w:hAnsi="Book Antiqua" w:cs="Times New Roman"/>
        </w:rPr>
        <w:t xml:space="preserve"> March 2019, I would like to emphasize that the data reflected in the High Commissioner’s report that only 75% of the land </w:t>
      </w:r>
      <w:r>
        <w:rPr>
          <w:rFonts w:ascii="Book Antiqua" w:hAnsi="Book Antiqua" w:cs="Times New Roman"/>
        </w:rPr>
        <w:t xml:space="preserve">held in 2009 by the security forces </w:t>
      </w:r>
      <w:r w:rsidRPr="003A4D13">
        <w:rPr>
          <w:rFonts w:ascii="Book Antiqua" w:hAnsi="Book Antiqua" w:cs="Times New Roman"/>
        </w:rPr>
        <w:t xml:space="preserve">has been released is at significant variance with the actual numbers.  </w:t>
      </w:r>
    </w:p>
    <w:p w:rsidR="008525FD" w:rsidRPr="003A4D13" w:rsidRDefault="008525FD" w:rsidP="008525FD">
      <w:pPr>
        <w:pStyle w:val="NoSpacing"/>
        <w:numPr>
          <w:ilvl w:val="0"/>
          <w:numId w:val="1"/>
        </w:numPr>
        <w:spacing w:line="276" w:lineRule="auto"/>
        <w:jc w:val="both"/>
        <w:rPr>
          <w:rFonts w:ascii="Book Antiqua" w:hAnsi="Book Antiqua" w:cs="Times New Roman"/>
        </w:rPr>
      </w:pPr>
      <w:r w:rsidRPr="003A4D13">
        <w:rPr>
          <w:rFonts w:ascii="Book Antiqua" w:hAnsi="Book Antiqua" w:cs="Times New Roman"/>
        </w:rPr>
        <w:t>Of the 71,172.56 acres of State lands held by the Security Forces, since May 2009, 63,257.48 acres have been released, as at 12</w:t>
      </w:r>
      <w:r w:rsidRPr="003A4D13">
        <w:rPr>
          <w:rFonts w:ascii="Book Antiqua" w:hAnsi="Book Antiqua" w:cs="Times New Roman"/>
          <w:vertAlign w:val="superscript"/>
        </w:rPr>
        <w:t>th</w:t>
      </w:r>
      <w:r w:rsidRPr="003A4D13">
        <w:rPr>
          <w:rFonts w:ascii="Book Antiqua" w:hAnsi="Book Antiqua" w:cs="Times New Roman"/>
        </w:rPr>
        <w:t xml:space="preserve"> March 2019, i.e. a release of 88.87% of land originally held.</w:t>
      </w:r>
    </w:p>
    <w:p w:rsidR="008525FD" w:rsidRPr="003A4D13" w:rsidRDefault="008525FD" w:rsidP="008525FD">
      <w:pPr>
        <w:pStyle w:val="NoSpacing"/>
        <w:spacing w:line="276" w:lineRule="auto"/>
        <w:rPr>
          <w:rFonts w:ascii="Book Antiqua" w:hAnsi="Book Antiqua"/>
        </w:rPr>
      </w:pPr>
    </w:p>
    <w:p w:rsidR="008525FD" w:rsidRPr="003A4D13" w:rsidRDefault="008525FD" w:rsidP="008525FD">
      <w:pPr>
        <w:pStyle w:val="NoSpacing"/>
        <w:numPr>
          <w:ilvl w:val="0"/>
          <w:numId w:val="1"/>
        </w:numPr>
        <w:spacing w:line="276" w:lineRule="auto"/>
        <w:jc w:val="both"/>
        <w:rPr>
          <w:rFonts w:ascii="Book Antiqua" w:hAnsi="Book Antiqua" w:cs="Times New Roman"/>
        </w:rPr>
      </w:pPr>
      <w:r w:rsidRPr="003A4D13">
        <w:rPr>
          <w:rFonts w:ascii="Book Antiqua" w:hAnsi="Book Antiqua" w:cs="Times New Roman"/>
        </w:rPr>
        <w:t xml:space="preserve">Of the 28,215.29 acres of the private land held by the Security Forces since May 2009, 26,005.17 acres (92.16%) have been released </w:t>
      </w:r>
      <w:r>
        <w:rPr>
          <w:rFonts w:ascii="Book Antiqua" w:hAnsi="Book Antiqua" w:cs="Times New Roman"/>
        </w:rPr>
        <w:t xml:space="preserve">as </w:t>
      </w:r>
      <w:r w:rsidRPr="003A4D13">
        <w:rPr>
          <w:rFonts w:ascii="Book Antiqua" w:hAnsi="Book Antiqua" w:cs="Times New Roman"/>
        </w:rPr>
        <w:t>at 12</w:t>
      </w:r>
      <w:r w:rsidRPr="003A4D13">
        <w:rPr>
          <w:rFonts w:ascii="Book Antiqua" w:hAnsi="Book Antiqua" w:cs="Times New Roman"/>
          <w:vertAlign w:val="superscript"/>
        </w:rPr>
        <w:t>th</w:t>
      </w:r>
      <w:r w:rsidRPr="003A4D13">
        <w:rPr>
          <w:rFonts w:ascii="Book Antiqua" w:hAnsi="Book Antiqua" w:cs="Times New Roman"/>
        </w:rPr>
        <w:t xml:space="preserve"> March2019. </w:t>
      </w:r>
    </w:p>
    <w:p w:rsidR="008525FD" w:rsidRPr="003A4D13" w:rsidRDefault="008525FD" w:rsidP="008525FD">
      <w:pPr>
        <w:pStyle w:val="NoSpacing"/>
        <w:spacing w:line="276" w:lineRule="auto"/>
        <w:rPr>
          <w:rFonts w:ascii="Book Antiqua" w:hAnsi="Book Antiqua"/>
        </w:rPr>
      </w:pPr>
      <w:bookmarkStart w:id="2" w:name="_Hlk3965422"/>
    </w:p>
    <w:p w:rsidR="008525FD" w:rsidRPr="003A4D13" w:rsidRDefault="008525FD" w:rsidP="008525FD">
      <w:pPr>
        <w:pStyle w:val="NoSpacing"/>
        <w:spacing w:line="276" w:lineRule="auto"/>
        <w:jc w:val="both"/>
        <w:rPr>
          <w:rFonts w:ascii="Book Antiqua" w:hAnsi="Book Antiqua" w:cs="Times New Roman"/>
        </w:rPr>
      </w:pPr>
      <w:r w:rsidRPr="003A4D13">
        <w:rPr>
          <w:rFonts w:ascii="Book Antiqua" w:hAnsi="Book Antiqua" w:cs="Times New Roman"/>
        </w:rPr>
        <w:t xml:space="preserve">These significant figures highlight the utmost priority accorded by the </w:t>
      </w:r>
      <w:r>
        <w:rPr>
          <w:rFonts w:ascii="Book Antiqua" w:hAnsi="Book Antiqua" w:cs="Times New Roman"/>
        </w:rPr>
        <w:t>Government</w:t>
      </w:r>
      <w:r w:rsidRPr="003A4D13">
        <w:rPr>
          <w:rFonts w:ascii="Book Antiqua" w:hAnsi="Book Antiqua" w:cs="Times New Roman"/>
        </w:rPr>
        <w:t xml:space="preserve"> to the incremental and expeditious release of lands held by the security forces. </w:t>
      </w:r>
    </w:p>
    <w:p w:rsidR="008525FD" w:rsidRPr="003A4D13" w:rsidRDefault="008525FD" w:rsidP="008525FD">
      <w:pPr>
        <w:pStyle w:val="NoSpacing"/>
        <w:spacing w:line="276" w:lineRule="auto"/>
        <w:rPr>
          <w:rFonts w:ascii="Book Antiqua" w:hAnsi="Book Antiqua"/>
        </w:rPr>
      </w:pPr>
    </w:p>
    <w:bookmarkEnd w:id="2"/>
    <w:p w:rsidR="008525FD" w:rsidRPr="003A4D13" w:rsidRDefault="008525FD" w:rsidP="008525FD">
      <w:pPr>
        <w:pStyle w:val="NoSpacing"/>
        <w:spacing w:line="276" w:lineRule="auto"/>
        <w:jc w:val="both"/>
        <w:rPr>
          <w:rFonts w:ascii="Book Antiqua" w:hAnsi="Book Antiqua" w:cs="Times New Roman"/>
        </w:rPr>
      </w:pPr>
      <w:r w:rsidRPr="003A4D13">
        <w:rPr>
          <w:rFonts w:ascii="Book Antiqua" w:hAnsi="Book Antiqua" w:cs="Times New Roman"/>
        </w:rPr>
        <w:t>However, the remaining lands, which are a necessity in the context of national security, would continue to be held by the security forces, with compensation being paid in respect of privately owned lands.</w:t>
      </w:r>
    </w:p>
    <w:p w:rsidR="008525FD" w:rsidRPr="003A4D13" w:rsidRDefault="008525FD" w:rsidP="008525FD">
      <w:pPr>
        <w:pStyle w:val="NoSpacing"/>
        <w:spacing w:line="276" w:lineRule="auto"/>
        <w:rPr>
          <w:rFonts w:ascii="Book Antiqua" w:hAnsi="Book Antiqua"/>
        </w:rPr>
      </w:pPr>
    </w:p>
    <w:p w:rsidR="008525FD" w:rsidRPr="003A4D13" w:rsidRDefault="008525FD" w:rsidP="008525FD">
      <w:pPr>
        <w:pStyle w:val="NoSpacing"/>
        <w:spacing w:line="276" w:lineRule="auto"/>
        <w:jc w:val="both"/>
        <w:rPr>
          <w:rFonts w:ascii="Book Antiqua" w:hAnsi="Book Antiqua" w:cs="Times New Roman"/>
        </w:rPr>
      </w:pPr>
      <w:bookmarkStart w:id="3" w:name="_Hlk3965342"/>
      <w:r w:rsidRPr="003A4D13">
        <w:rPr>
          <w:rFonts w:ascii="Book Antiqua" w:hAnsi="Book Antiqua" w:cs="Times New Roman"/>
        </w:rPr>
        <w:t xml:space="preserve">I wish to emphasize here that President Maithripala Sirisena’s pledge to complete the release of land and </w:t>
      </w:r>
      <w:r>
        <w:rPr>
          <w:rFonts w:ascii="Book Antiqua" w:hAnsi="Book Antiqua" w:cs="Times New Roman"/>
        </w:rPr>
        <w:t xml:space="preserve">the </w:t>
      </w:r>
      <w:r w:rsidRPr="003A4D13">
        <w:rPr>
          <w:rFonts w:ascii="Book Antiqua" w:hAnsi="Book Antiqua" w:cs="Times New Roman"/>
        </w:rPr>
        <w:t xml:space="preserve">appointment of a Presidential Task Force on Northern and Eastern Provinces Development through the Gazette Notification (No 2074/11 of 5 June 2018), considerably expedited the process over the past year. This Task Force which meets regularly to monitor and advice on development activities in the two Provinces, includes the Hon. Prime Minister, Cabinet Ministers, Governors of the Northern and Eastern Provinces, Chief Ministers, Chief Secretaries, all Heads of Departments and Members of Parliament representing the Northern and </w:t>
      </w:r>
      <w:r>
        <w:rPr>
          <w:rFonts w:ascii="Book Antiqua" w:hAnsi="Book Antiqua" w:cs="Times New Roman"/>
        </w:rPr>
        <w:t xml:space="preserve">the </w:t>
      </w:r>
      <w:r w:rsidRPr="003A4D13">
        <w:rPr>
          <w:rFonts w:ascii="Book Antiqua" w:hAnsi="Book Antiqua" w:cs="Times New Roman"/>
        </w:rPr>
        <w:t xml:space="preserve">Eastern Provinces, as well as the Secretaries of the Ministries of Defence, Finance and Foreign Affairs. </w:t>
      </w:r>
    </w:p>
    <w:p w:rsidR="008525FD" w:rsidRPr="003A4D13" w:rsidRDefault="008525FD" w:rsidP="008525FD">
      <w:pPr>
        <w:pStyle w:val="NoSpacing"/>
        <w:spacing w:line="276" w:lineRule="auto"/>
        <w:jc w:val="both"/>
        <w:rPr>
          <w:rFonts w:ascii="Book Antiqua" w:hAnsi="Book Antiqua" w:cs="Times New Roman"/>
        </w:rPr>
      </w:pPr>
    </w:p>
    <w:p w:rsidR="008525FD" w:rsidRPr="003A4D13" w:rsidRDefault="008525FD" w:rsidP="008525FD">
      <w:pPr>
        <w:pStyle w:val="NoSpacing"/>
        <w:spacing w:line="276" w:lineRule="auto"/>
        <w:jc w:val="both"/>
        <w:rPr>
          <w:rFonts w:ascii="Book Antiqua" w:hAnsi="Book Antiqua" w:cs="Times New Roman"/>
        </w:rPr>
      </w:pPr>
      <w:r w:rsidRPr="003A4D13">
        <w:rPr>
          <w:rFonts w:ascii="Book Antiqua" w:hAnsi="Book Antiqua" w:cs="Times New Roman"/>
        </w:rPr>
        <w:t xml:space="preserve">With regard to the issue of “lack of Infrastructure”, 66,100 houses have been constructed and handed over in the North and East to civilians during the period of 2009 to 2018. In 2019, work commenced, on the construction of 4,750 houses on an “owner driven model”.  It is anticipated that this programme would be completed by June 2019. </w:t>
      </w:r>
      <w:r>
        <w:rPr>
          <w:rFonts w:ascii="Book Antiqua" w:hAnsi="Book Antiqua" w:cs="Times New Roman"/>
        </w:rPr>
        <w:t>The Hon. Prime Minister has taken keen interest to see to the progress of the development in the North and East. On his recommendation a programme to construct 10,000 houses has commenced.</w:t>
      </w:r>
    </w:p>
    <w:bookmarkEnd w:id="3"/>
    <w:p w:rsidR="008525FD" w:rsidRPr="003A4D13" w:rsidRDefault="008525FD" w:rsidP="008525FD">
      <w:pPr>
        <w:pStyle w:val="NoSpacing"/>
        <w:spacing w:line="276" w:lineRule="auto"/>
        <w:rPr>
          <w:rFonts w:ascii="Book Antiqua" w:hAnsi="Book Antiqua"/>
        </w:rPr>
      </w:pPr>
    </w:p>
    <w:p w:rsidR="008525FD" w:rsidRPr="003A4D13" w:rsidRDefault="008525FD" w:rsidP="008525FD">
      <w:pPr>
        <w:pStyle w:val="NoSpacing"/>
        <w:spacing w:line="276" w:lineRule="auto"/>
        <w:jc w:val="both"/>
        <w:rPr>
          <w:rFonts w:ascii="Book Antiqua" w:hAnsi="Book Antiqua" w:cs="Times New Roman"/>
        </w:rPr>
      </w:pPr>
      <w:r w:rsidRPr="003A4D13">
        <w:rPr>
          <w:rFonts w:ascii="Book Antiqua" w:hAnsi="Book Antiqua" w:cs="Times New Roman"/>
        </w:rPr>
        <w:t xml:space="preserve">Other infrastructure development projects that have taken place since 2015 - 2018 are as follows:  </w:t>
      </w:r>
    </w:p>
    <w:p w:rsidR="008525FD" w:rsidRPr="003A4D13" w:rsidRDefault="008525FD" w:rsidP="008525FD">
      <w:pPr>
        <w:pStyle w:val="NoSpacing"/>
        <w:spacing w:line="276" w:lineRule="auto"/>
        <w:rPr>
          <w:rFonts w:ascii="Book Antiqua" w:hAnsi="Book Antiqua"/>
        </w:rPr>
      </w:pPr>
    </w:p>
    <w:p w:rsidR="008525FD" w:rsidRPr="003A4D13" w:rsidRDefault="008525FD" w:rsidP="008525FD">
      <w:pPr>
        <w:pStyle w:val="NoSpacing"/>
        <w:spacing w:line="276" w:lineRule="auto"/>
        <w:ind w:left="720"/>
        <w:jc w:val="both"/>
        <w:rPr>
          <w:rFonts w:ascii="Book Antiqua" w:hAnsi="Book Antiqua" w:cs="Times New Roman"/>
        </w:rPr>
      </w:pPr>
      <w:r w:rsidRPr="003A4D13">
        <w:rPr>
          <w:rFonts w:ascii="Book Antiqua" w:hAnsi="Book Antiqua" w:cs="Times New Roman"/>
        </w:rPr>
        <w:t>1. Livelihood Assistance</w:t>
      </w:r>
      <w:r w:rsidRPr="003A4D13">
        <w:rPr>
          <w:rFonts w:ascii="Book Antiqua" w:hAnsi="Book Antiqua" w:cs="Times New Roman"/>
        </w:rPr>
        <w:tab/>
      </w:r>
      <w:r w:rsidRPr="003A4D13">
        <w:rPr>
          <w:rFonts w:ascii="Book Antiqua" w:hAnsi="Book Antiqua" w:cs="Times New Roman"/>
        </w:rPr>
        <w:tab/>
        <w:t>-</w:t>
      </w:r>
      <w:r w:rsidRPr="003A4D13">
        <w:rPr>
          <w:rFonts w:ascii="Book Antiqua" w:hAnsi="Book Antiqua" w:cs="Times New Roman"/>
        </w:rPr>
        <w:tab/>
        <w:t>23,548 families (Rs. 100,000/- per family)</w:t>
      </w:r>
    </w:p>
    <w:p w:rsidR="008525FD" w:rsidRPr="003A4D13" w:rsidRDefault="008525FD" w:rsidP="008525FD">
      <w:pPr>
        <w:pStyle w:val="NoSpacing"/>
        <w:spacing w:line="276" w:lineRule="auto"/>
        <w:ind w:left="720"/>
        <w:jc w:val="both"/>
        <w:rPr>
          <w:rFonts w:ascii="Book Antiqua" w:hAnsi="Book Antiqua" w:cs="Times New Roman"/>
        </w:rPr>
      </w:pPr>
      <w:r w:rsidRPr="003A4D13">
        <w:rPr>
          <w:rFonts w:ascii="Book Antiqua" w:hAnsi="Book Antiqua" w:cs="Times New Roman"/>
        </w:rPr>
        <w:t xml:space="preserve">2. No of domestic common wells </w:t>
      </w:r>
      <w:r w:rsidRPr="003A4D13">
        <w:rPr>
          <w:rFonts w:ascii="Book Antiqua" w:hAnsi="Book Antiqua" w:cs="Times New Roman"/>
        </w:rPr>
        <w:tab/>
        <w:t>-</w:t>
      </w:r>
      <w:r w:rsidRPr="003A4D13">
        <w:rPr>
          <w:rFonts w:ascii="Book Antiqua" w:hAnsi="Book Antiqua" w:cs="Times New Roman"/>
        </w:rPr>
        <w:tab/>
        <w:t>1,817 nos.</w:t>
      </w:r>
    </w:p>
    <w:p w:rsidR="008525FD" w:rsidRPr="003A4D13" w:rsidRDefault="008525FD" w:rsidP="008525FD">
      <w:pPr>
        <w:pStyle w:val="NoSpacing"/>
        <w:spacing w:line="276" w:lineRule="auto"/>
        <w:ind w:left="720"/>
        <w:jc w:val="both"/>
        <w:rPr>
          <w:rFonts w:ascii="Book Antiqua" w:hAnsi="Book Antiqua" w:cs="Times New Roman"/>
        </w:rPr>
      </w:pPr>
      <w:r w:rsidRPr="003A4D13">
        <w:rPr>
          <w:rFonts w:ascii="Book Antiqua" w:hAnsi="Book Antiqua" w:cs="Times New Roman"/>
        </w:rPr>
        <w:t xml:space="preserve">3. No of Water Connections </w:t>
      </w:r>
      <w:r w:rsidRPr="003A4D13">
        <w:rPr>
          <w:rFonts w:ascii="Book Antiqua" w:hAnsi="Book Antiqua" w:cs="Times New Roman"/>
        </w:rPr>
        <w:tab/>
      </w:r>
      <w:r w:rsidRPr="003A4D13">
        <w:rPr>
          <w:rFonts w:ascii="Book Antiqua" w:hAnsi="Book Antiqua" w:cs="Times New Roman"/>
        </w:rPr>
        <w:tab/>
        <w:t>-</w:t>
      </w:r>
      <w:r w:rsidRPr="003A4D13">
        <w:rPr>
          <w:rFonts w:ascii="Book Antiqua" w:hAnsi="Book Antiqua" w:cs="Times New Roman"/>
        </w:rPr>
        <w:tab/>
        <w:t>10,245 families (Rs. 25,000/- per family)</w:t>
      </w:r>
    </w:p>
    <w:p w:rsidR="008525FD" w:rsidRPr="003A4D13" w:rsidRDefault="008525FD" w:rsidP="008525FD">
      <w:pPr>
        <w:pStyle w:val="NoSpacing"/>
        <w:spacing w:line="276" w:lineRule="auto"/>
        <w:ind w:left="720"/>
        <w:jc w:val="both"/>
        <w:rPr>
          <w:rFonts w:ascii="Book Antiqua" w:hAnsi="Book Antiqua" w:cs="Times New Roman"/>
        </w:rPr>
      </w:pPr>
      <w:r w:rsidRPr="003A4D13">
        <w:rPr>
          <w:rFonts w:ascii="Book Antiqua" w:hAnsi="Book Antiqua" w:cs="Times New Roman"/>
        </w:rPr>
        <w:t xml:space="preserve">4. Electricity Supply </w:t>
      </w:r>
      <w:r w:rsidRPr="003A4D13">
        <w:rPr>
          <w:rFonts w:ascii="Book Antiqua" w:hAnsi="Book Antiqua" w:cs="Times New Roman"/>
        </w:rPr>
        <w:tab/>
      </w:r>
      <w:r w:rsidRPr="003A4D13">
        <w:rPr>
          <w:rFonts w:ascii="Book Antiqua" w:hAnsi="Book Antiqua" w:cs="Times New Roman"/>
        </w:rPr>
        <w:tab/>
      </w:r>
      <w:r w:rsidRPr="003A4D13">
        <w:rPr>
          <w:rFonts w:ascii="Book Antiqua" w:hAnsi="Book Antiqua" w:cs="Times New Roman"/>
        </w:rPr>
        <w:tab/>
        <w:t>-</w:t>
      </w:r>
      <w:r w:rsidRPr="003A4D13">
        <w:rPr>
          <w:rFonts w:ascii="Book Antiqua" w:hAnsi="Book Antiqua" w:cs="Times New Roman"/>
        </w:rPr>
        <w:tab/>
        <w:t xml:space="preserve">14,374 families </w:t>
      </w:r>
    </w:p>
    <w:p w:rsidR="008525FD" w:rsidRPr="003A4D13" w:rsidRDefault="008525FD" w:rsidP="008525FD">
      <w:pPr>
        <w:pStyle w:val="NoSpacing"/>
        <w:spacing w:line="276" w:lineRule="auto"/>
        <w:ind w:left="720"/>
        <w:jc w:val="both"/>
        <w:rPr>
          <w:rFonts w:ascii="Book Antiqua" w:hAnsi="Book Antiqua" w:cs="Times New Roman"/>
        </w:rPr>
      </w:pPr>
      <w:r w:rsidRPr="003A4D13">
        <w:rPr>
          <w:rFonts w:ascii="Book Antiqua" w:hAnsi="Book Antiqua" w:cs="Times New Roman"/>
        </w:rPr>
        <w:t xml:space="preserve">5. Internal Roads </w:t>
      </w:r>
      <w:r w:rsidRPr="003A4D13">
        <w:rPr>
          <w:rFonts w:ascii="Book Antiqua" w:hAnsi="Book Antiqua" w:cs="Times New Roman"/>
        </w:rPr>
        <w:tab/>
      </w:r>
      <w:r w:rsidRPr="003A4D13">
        <w:rPr>
          <w:rFonts w:ascii="Book Antiqua" w:hAnsi="Book Antiqua" w:cs="Times New Roman"/>
        </w:rPr>
        <w:tab/>
      </w:r>
      <w:r w:rsidRPr="003A4D13">
        <w:rPr>
          <w:rFonts w:ascii="Book Antiqua" w:hAnsi="Book Antiqua" w:cs="Times New Roman"/>
        </w:rPr>
        <w:tab/>
        <w:t>-</w:t>
      </w:r>
      <w:r w:rsidRPr="003A4D13">
        <w:rPr>
          <w:rFonts w:ascii="Book Antiqua" w:hAnsi="Book Antiqua" w:cs="Times New Roman"/>
        </w:rPr>
        <w:tab/>
        <w:t>254 nos.</w:t>
      </w:r>
    </w:p>
    <w:p w:rsidR="008525FD" w:rsidRPr="003A4D13" w:rsidRDefault="008525FD" w:rsidP="008525FD">
      <w:pPr>
        <w:pStyle w:val="NoSpacing"/>
        <w:spacing w:line="276" w:lineRule="auto"/>
        <w:ind w:left="720" w:right="-450"/>
        <w:jc w:val="both"/>
        <w:rPr>
          <w:rFonts w:ascii="Book Antiqua" w:hAnsi="Book Antiqua" w:cs="Times New Roman"/>
        </w:rPr>
      </w:pPr>
      <w:r w:rsidRPr="003A4D13">
        <w:rPr>
          <w:rFonts w:ascii="Book Antiqua" w:hAnsi="Book Antiqua" w:cs="Times New Roman"/>
        </w:rPr>
        <w:t>6. No of Sanitation facilities                -</w:t>
      </w:r>
      <w:r w:rsidRPr="003A4D13">
        <w:rPr>
          <w:rFonts w:ascii="Book Antiqua" w:hAnsi="Book Antiqua" w:cs="Times New Roman"/>
        </w:rPr>
        <w:tab/>
        <w:t>14,238 families (Rs.60,000/-  per family)</w:t>
      </w:r>
    </w:p>
    <w:p w:rsidR="008525FD" w:rsidRPr="003A4D13" w:rsidRDefault="008525FD" w:rsidP="008525FD">
      <w:pPr>
        <w:pStyle w:val="NoSpacing"/>
        <w:spacing w:line="276" w:lineRule="auto"/>
        <w:ind w:left="720"/>
        <w:jc w:val="both"/>
        <w:rPr>
          <w:rFonts w:ascii="Book Antiqua" w:hAnsi="Book Antiqua" w:cs="Times New Roman"/>
        </w:rPr>
      </w:pPr>
      <w:r w:rsidRPr="003A4D13">
        <w:rPr>
          <w:rFonts w:ascii="Book Antiqua" w:hAnsi="Book Antiqua" w:cs="Times New Roman"/>
        </w:rPr>
        <w:t xml:space="preserve">7. Hospitals/Health Centers </w:t>
      </w:r>
      <w:r w:rsidRPr="003A4D13">
        <w:rPr>
          <w:rFonts w:ascii="Book Antiqua" w:hAnsi="Book Antiqua" w:cs="Times New Roman"/>
        </w:rPr>
        <w:tab/>
      </w:r>
      <w:r w:rsidRPr="003A4D13">
        <w:rPr>
          <w:rFonts w:ascii="Book Antiqua" w:hAnsi="Book Antiqua" w:cs="Times New Roman"/>
        </w:rPr>
        <w:tab/>
        <w:t>-</w:t>
      </w:r>
      <w:r w:rsidRPr="003A4D13">
        <w:rPr>
          <w:rFonts w:ascii="Book Antiqua" w:hAnsi="Book Antiqua" w:cs="Times New Roman"/>
        </w:rPr>
        <w:tab/>
        <w:t>56 nos.</w:t>
      </w:r>
    </w:p>
    <w:p w:rsidR="008525FD" w:rsidRPr="003A4D13" w:rsidRDefault="008525FD" w:rsidP="008525FD">
      <w:pPr>
        <w:pStyle w:val="NoSpacing"/>
        <w:spacing w:line="276" w:lineRule="auto"/>
        <w:jc w:val="both"/>
        <w:rPr>
          <w:rFonts w:ascii="Book Antiqua" w:hAnsi="Book Antiqua" w:cs="Times New Roman"/>
        </w:rPr>
      </w:pPr>
    </w:p>
    <w:p w:rsidR="008525FD" w:rsidRPr="003A4D13" w:rsidRDefault="008525FD" w:rsidP="008525FD">
      <w:pPr>
        <w:pStyle w:val="NoSpacing"/>
        <w:spacing w:line="276" w:lineRule="auto"/>
        <w:jc w:val="both"/>
        <w:rPr>
          <w:rFonts w:ascii="Book Antiqua" w:hAnsi="Book Antiqua" w:cs="Times New Roman"/>
        </w:rPr>
      </w:pPr>
      <w:r w:rsidRPr="003A4D13">
        <w:rPr>
          <w:rFonts w:ascii="Book Antiqua" w:hAnsi="Book Antiqua" w:cs="Times New Roman"/>
        </w:rPr>
        <w:t xml:space="preserve">The above represent only a few of </w:t>
      </w:r>
      <w:r>
        <w:rPr>
          <w:rFonts w:ascii="Book Antiqua" w:hAnsi="Book Antiqua" w:cs="Times New Roman"/>
        </w:rPr>
        <w:t xml:space="preserve">the </w:t>
      </w:r>
      <w:r w:rsidRPr="003A4D13">
        <w:rPr>
          <w:rFonts w:ascii="Book Antiqua" w:hAnsi="Book Antiqua" w:cs="Times New Roman"/>
        </w:rPr>
        <w:t xml:space="preserve">many development projects launched by the Government of Sri Lanka for the economic well-being of the people of the Northern and Eastern Provinces. </w:t>
      </w:r>
    </w:p>
    <w:p w:rsidR="008525FD" w:rsidRPr="003A4D13" w:rsidRDefault="008525FD" w:rsidP="008525FD">
      <w:pPr>
        <w:pStyle w:val="NoSpacing"/>
        <w:spacing w:line="276" w:lineRule="auto"/>
        <w:jc w:val="both"/>
        <w:rPr>
          <w:rFonts w:ascii="Book Antiqua" w:hAnsi="Book Antiqua" w:cs="Times New Roman"/>
        </w:rPr>
      </w:pPr>
    </w:p>
    <w:p w:rsidR="008525FD" w:rsidRPr="003A4D13" w:rsidRDefault="008525FD" w:rsidP="008525FD">
      <w:pPr>
        <w:pStyle w:val="NoSpacing"/>
        <w:spacing w:line="276" w:lineRule="auto"/>
        <w:jc w:val="both"/>
        <w:rPr>
          <w:rFonts w:ascii="Book Antiqua" w:hAnsi="Book Antiqua" w:cs="Times New Roman"/>
        </w:rPr>
      </w:pPr>
      <w:r w:rsidRPr="003A4D13">
        <w:rPr>
          <w:rFonts w:ascii="Book Antiqua" w:hAnsi="Book Antiqua" w:cs="Times New Roman"/>
        </w:rPr>
        <w:t xml:space="preserve">With reference to the concern raised on </w:t>
      </w:r>
      <w:r>
        <w:rPr>
          <w:rFonts w:ascii="Book Antiqua" w:hAnsi="Book Antiqua" w:cs="Times New Roman"/>
        </w:rPr>
        <w:t xml:space="preserve">the </w:t>
      </w:r>
      <w:r w:rsidRPr="003A4D13">
        <w:rPr>
          <w:rFonts w:ascii="Book Antiqua" w:hAnsi="Book Antiqua" w:cs="Times New Roman"/>
        </w:rPr>
        <w:t xml:space="preserve">alleged destruction of property before return, it needs to be </w:t>
      </w:r>
      <w:r>
        <w:rPr>
          <w:rFonts w:ascii="Book Antiqua" w:hAnsi="Book Antiqua" w:cs="Times New Roman"/>
        </w:rPr>
        <w:t xml:space="preserve">categorically stated </w:t>
      </w:r>
      <w:r w:rsidRPr="003A4D13">
        <w:rPr>
          <w:rFonts w:ascii="Book Antiqua" w:hAnsi="Book Antiqua" w:cs="Times New Roman"/>
        </w:rPr>
        <w:t xml:space="preserve">that there is no such government policy. On the contrary, the security forces have dismantled military infrastructure before </w:t>
      </w:r>
      <w:r>
        <w:rPr>
          <w:rFonts w:ascii="Book Antiqua" w:hAnsi="Book Antiqua" w:cs="Times New Roman"/>
        </w:rPr>
        <w:t xml:space="preserve">the </w:t>
      </w:r>
      <w:r w:rsidRPr="003A4D13">
        <w:rPr>
          <w:rFonts w:ascii="Book Antiqua" w:hAnsi="Book Antiqua" w:cs="Times New Roman"/>
        </w:rPr>
        <w:t xml:space="preserve">handover </w:t>
      </w:r>
      <w:r>
        <w:rPr>
          <w:rFonts w:ascii="Book Antiqua" w:hAnsi="Book Antiqua" w:cs="Times New Roman"/>
        </w:rPr>
        <w:t>in the interest of</w:t>
      </w:r>
      <w:r w:rsidRPr="003A4D13">
        <w:rPr>
          <w:rFonts w:ascii="Book Antiqua" w:hAnsi="Book Antiqua" w:cs="Times New Roman"/>
        </w:rPr>
        <w:t xml:space="preserve"> the safety and facilitation </w:t>
      </w:r>
      <w:r>
        <w:rPr>
          <w:rFonts w:ascii="Book Antiqua" w:hAnsi="Book Antiqua" w:cs="Times New Roman"/>
        </w:rPr>
        <w:t>for</w:t>
      </w:r>
      <w:r w:rsidRPr="003A4D13">
        <w:rPr>
          <w:rFonts w:ascii="Book Antiqua" w:hAnsi="Book Antiqua" w:cs="Times New Roman"/>
        </w:rPr>
        <w:t xml:space="preserve"> civilians. </w:t>
      </w:r>
    </w:p>
    <w:p w:rsidR="008525FD" w:rsidRPr="003A4D13" w:rsidRDefault="008525FD" w:rsidP="008525FD">
      <w:pPr>
        <w:pStyle w:val="NoSpacing"/>
        <w:spacing w:line="276" w:lineRule="auto"/>
        <w:jc w:val="both"/>
        <w:rPr>
          <w:rFonts w:ascii="Book Antiqua" w:hAnsi="Book Antiqua" w:cs="Times New Roman"/>
        </w:rPr>
      </w:pPr>
    </w:p>
    <w:p w:rsidR="008525FD" w:rsidRPr="003A4D13" w:rsidRDefault="008525FD" w:rsidP="008525FD">
      <w:pPr>
        <w:pStyle w:val="NoSpacing"/>
        <w:spacing w:line="276" w:lineRule="auto"/>
        <w:jc w:val="both"/>
        <w:rPr>
          <w:rFonts w:ascii="Book Antiqua" w:hAnsi="Book Antiqua" w:cs="Times New Roman"/>
        </w:rPr>
      </w:pPr>
      <w:r w:rsidRPr="003A4D13">
        <w:rPr>
          <w:rFonts w:ascii="Book Antiqua" w:hAnsi="Book Antiqua" w:cs="Times New Roman"/>
        </w:rPr>
        <w:t xml:space="preserve">It must also be noted, Madam High Commissioner, that the Government of Sri Lanka has no policy of “Colonization” of either the Northern Province or Eastern Province, or as a matter of fact, </w:t>
      </w:r>
      <w:r>
        <w:rPr>
          <w:rFonts w:ascii="Book Antiqua" w:hAnsi="Book Antiqua" w:cs="Times New Roman"/>
        </w:rPr>
        <w:t xml:space="preserve">of any province in the </w:t>
      </w:r>
      <w:r w:rsidRPr="003A4D13">
        <w:rPr>
          <w:rFonts w:ascii="Book Antiqua" w:hAnsi="Book Antiqua" w:cs="Times New Roman"/>
        </w:rPr>
        <w:t>country.</w:t>
      </w:r>
      <w:r>
        <w:rPr>
          <w:rFonts w:ascii="Book Antiqua" w:hAnsi="Book Antiqua" w:cs="Times New Roman"/>
        </w:rPr>
        <w:t xml:space="preserve"> As regards the contention that land owners are deprived their land by declaring their land as forest cover or as archeological projects, it must be clearly and categorically stated that the Government has not resorted to any such measures. However, it must be born in mind that the protection of forest land and archaeological projects is an obligation cast on any State in accordance with its international obligations that mandate protection and preservation of the environment and of cultural heritage. Furthermore, in identifying the relevant forest land and the cultural heritage, respective provincial administrations are also consulted.</w:t>
      </w:r>
    </w:p>
    <w:p w:rsidR="008525FD" w:rsidRPr="003A4D13" w:rsidRDefault="008525FD" w:rsidP="008525FD">
      <w:pPr>
        <w:pStyle w:val="NoSpacing"/>
        <w:spacing w:line="276" w:lineRule="auto"/>
        <w:jc w:val="both"/>
        <w:rPr>
          <w:rFonts w:ascii="Book Antiqua" w:hAnsi="Book Antiqua" w:cs="Times New Roman"/>
        </w:rPr>
      </w:pPr>
    </w:p>
    <w:p w:rsidR="008525FD" w:rsidRPr="003A4D13" w:rsidRDefault="008525FD" w:rsidP="008525FD">
      <w:pPr>
        <w:spacing w:line="276" w:lineRule="auto"/>
        <w:jc w:val="both"/>
        <w:rPr>
          <w:rFonts w:ascii="Book Antiqua" w:hAnsi="Book Antiqua"/>
          <w:bCs/>
          <w:lang w:val="en-GB"/>
        </w:rPr>
      </w:pPr>
      <w:r w:rsidRPr="003A4D13">
        <w:rPr>
          <w:rFonts w:ascii="Book Antiqua" w:hAnsi="Book Antiqua"/>
          <w:bCs/>
          <w:lang w:val="en-GB"/>
        </w:rPr>
        <w:t xml:space="preserve">While fully acknowledging the mandate of this Council </w:t>
      </w:r>
      <w:r w:rsidRPr="003A4D13">
        <w:rPr>
          <w:rFonts w:ascii="Book Antiqua" w:hAnsi="Book Antiqua"/>
          <w:lang w:val="en-GB"/>
        </w:rPr>
        <w:t xml:space="preserve">in the prevention of human rights violations and responding promptly to human rights emergencies around the world, Sri Lanka believes that this Council knows only too well the </w:t>
      </w:r>
      <w:r w:rsidRPr="003A4D13">
        <w:rPr>
          <w:rFonts w:ascii="Book Antiqua" w:hAnsi="Book Antiqua"/>
          <w:bCs/>
          <w:lang w:val="en-GB"/>
        </w:rPr>
        <w:t xml:space="preserve">comparative experiences of countries which have traversed the path of post-conflict transition and reconciliation. These countries have often made deliberate efforts to maintain a careful balance between the speed of the transitional justice process and the desired quality, inclusiveness, comprehensiveness and sustainability of the outcomes. This is particularly true for countries like Sri Lanka, where unlike in certain other post-conflict situations, the challenge is not one of ‘State building’, but of ‘peace building’. </w:t>
      </w:r>
      <w:r w:rsidRPr="003A4D13">
        <w:rPr>
          <w:rFonts w:ascii="Book Antiqua" w:hAnsi="Book Antiqua"/>
          <w:lang w:val="en-GB"/>
        </w:rPr>
        <w:t xml:space="preserve">The Government of Sri Lanka is committed to finding effective and culturally sensitive </w:t>
      </w:r>
      <w:r>
        <w:rPr>
          <w:rFonts w:ascii="Book Antiqua" w:hAnsi="Book Antiqua"/>
          <w:lang w:val="en-GB"/>
        </w:rPr>
        <w:t xml:space="preserve">and viable </w:t>
      </w:r>
      <w:r w:rsidRPr="003A4D13">
        <w:rPr>
          <w:rFonts w:ascii="Book Antiqua" w:hAnsi="Book Antiqua"/>
          <w:lang w:val="en-GB"/>
        </w:rPr>
        <w:t xml:space="preserve">practices of healing and social co-existence. </w:t>
      </w:r>
    </w:p>
    <w:p w:rsidR="008525FD" w:rsidRPr="003A4D13" w:rsidRDefault="008525FD" w:rsidP="008525FD">
      <w:pPr>
        <w:spacing w:line="276" w:lineRule="auto"/>
        <w:jc w:val="both"/>
        <w:rPr>
          <w:rFonts w:ascii="Book Antiqua" w:hAnsi="Book Antiqua"/>
          <w:bCs/>
          <w:lang w:val="en-GB"/>
        </w:rPr>
      </w:pPr>
      <w:r w:rsidRPr="003A4D13">
        <w:rPr>
          <w:rFonts w:ascii="Book Antiqua" w:hAnsi="Book Antiqua"/>
          <w:bCs/>
          <w:lang w:val="en-GB"/>
        </w:rPr>
        <w:t xml:space="preserve">However, the considerable unevenness in the standards of proof applied to </w:t>
      </w:r>
      <w:r>
        <w:rPr>
          <w:rFonts w:ascii="Book Antiqua" w:hAnsi="Book Antiqua"/>
          <w:bCs/>
          <w:lang w:val="en-GB"/>
        </w:rPr>
        <w:t xml:space="preserve">the </w:t>
      </w:r>
      <w:r w:rsidRPr="003A4D13">
        <w:rPr>
          <w:rFonts w:ascii="Book Antiqua" w:hAnsi="Book Antiqua"/>
          <w:bCs/>
          <w:lang w:val="en-GB"/>
        </w:rPr>
        <w:t xml:space="preserve">Government of Sri Lanka, compared to </w:t>
      </w:r>
      <w:r>
        <w:rPr>
          <w:rFonts w:ascii="Book Antiqua" w:hAnsi="Book Antiqua"/>
          <w:bCs/>
          <w:lang w:val="en-GB"/>
        </w:rPr>
        <w:t xml:space="preserve">those applied to </w:t>
      </w:r>
      <w:r w:rsidRPr="003A4D13">
        <w:rPr>
          <w:rFonts w:ascii="Book Antiqua" w:hAnsi="Book Antiqua"/>
          <w:bCs/>
          <w:lang w:val="en-GB"/>
        </w:rPr>
        <w:t>the unsubstantiated allegations made by Sri Lanka’s detractors is problematic</w:t>
      </w:r>
      <w:r>
        <w:rPr>
          <w:rFonts w:ascii="Book Antiqua" w:hAnsi="Book Antiqua"/>
          <w:bCs/>
          <w:lang w:val="en-GB"/>
        </w:rPr>
        <w:t xml:space="preserve"> and confounding</w:t>
      </w:r>
      <w:r w:rsidRPr="003A4D13">
        <w:rPr>
          <w:rFonts w:ascii="Book Antiqua" w:hAnsi="Book Antiqua"/>
          <w:bCs/>
          <w:lang w:val="en-GB"/>
        </w:rPr>
        <w:t xml:space="preserve">. In this context, the Mannar graves referred to in </w:t>
      </w:r>
      <w:r>
        <w:rPr>
          <w:rFonts w:ascii="Book Antiqua" w:hAnsi="Book Antiqua"/>
          <w:bCs/>
          <w:lang w:val="en-GB"/>
        </w:rPr>
        <w:t xml:space="preserve">para 23 of </w:t>
      </w:r>
      <w:r w:rsidRPr="003A4D13">
        <w:rPr>
          <w:rFonts w:ascii="Book Antiqua" w:hAnsi="Book Antiqua"/>
          <w:bCs/>
          <w:lang w:val="en-GB"/>
        </w:rPr>
        <w:t>the High Commissioner’s Report and elaborated earlier is a case in point. While this report may have been compiled over several months</w:t>
      </w:r>
      <w:r>
        <w:rPr>
          <w:rFonts w:ascii="Book Antiqua" w:hAnsi="Book Antiqua"/>
          <w:bCs/>
          <w:lang w:val="en-GB"/>
        </w:rPr>
        <w:t xml:space="preserve"> ago</w:t>
      </w:r>
      <w:r w:rsidRPr="003A4D13">
        <w:rPr>
          <w:rFonts w:ascii="Book Antiqua" w:hAnsi="Book Antiqua"/>
          <w:bCs/>
          <w:lang w:val="en-GB"/>
        </w:rPr>
        <w:t xml:space="preserve">, at the time of its release, a determination on the dating of the remains had </w:t>
      </w:r>
      <w:r>
        <w:rPr>
          <w:rFonts w:ascii="Book Antiqua" w:hAnsi="Book Antiqua"/>
          <w:bCs/>
          <w:lang w:val="en-GB"/>
        </w:rPr>
        <w:t xml:space="preserve">already </w:t>
      </w:r>
      <w:r w:rsidRPr="003A4D13">
        <w:rPr>
          <w:rFonts w:ascii="Book Antiqua" w:hAnsi="Book Antiqua"/>
          <w:bCs/>
          <w:lang w:val="en-GB"/>
        </w:rPr>
        <w:t>been made based on forensic evidence.  We do not see this important detail included in the report. Moreover, the report presupposes “other mass graves might be expected to be found in the future”. An assumption of this nature in a public report, on a matter of this magnitude and seriousness, is not acceptable</w:t>
      </w:r>
      <w:r>
        <w:rPr>
          <w:rFonts w:ascii="Book Antiqua" w:hAnsi="Book Antiqua"/>
          <w:bCs/>
          <w:lang w:val="en-GB"/>
        </w:rPr>
        <w:t>, and may even cast a doubt as regards other assertions in the report.</w:t>
      </w:r>
    </w:p>
    <w:p w:rsidR="008525FD" w:rsidRPr="00FA1EF0" w:rsidRDefault="008525FD" w:rsidP="008525FD">
      <w:pPr>
        <w:spacing w:line="276" w:lineRule="auto"/>
        <w:jc w:val="both"/>
        <w:rPr>
          <w:rFonts w:ascii="Book Antiqua" w:hAnsi="Book Antiqua"/>
          <w:bCs/>
          <w:lang w:val="en-GB"/>
        </w:rPr>
      </w:pPr>
      <w:r w:rsidRPr="003A4D13">
        <w:rPr>
          <w:rFonts w:ascii="Book Antiqua" w:hAnsi="Book Antiqua"/>
          <w:bCs/>
          <w:lang w:val="en-GB"/>
        </w:rPr>
        <w:t>Conventional wis</w:t>
      </w:r>
      <w:r>
        <w:rPr>
          <w:rFonts w:ascii="Book Antiqua" w:hAnsi="Book Antiqua"/>
          <w:bCs/>
          <w:lang w:val="en-GB"/>
        </w:rPr>
        <w:t xml:space="preserve">dom teaches us that when facts </w:t>
      </w:r>
      <w:r w:rsidRPr="003A4D13">
        <w:rPr>
          <w:rFonts w:ascii="Book Antiqua" w:hAnsi="Book Antiqua"/>
          <w:bCs/>
          <w:lang w:val="en-GB"/>
        </w:rPr>
        <w:t xml:space="preserve">do not fit a theory, the theory has to change. However, conventional wisdom does not seem to be applied to Sri Lanka’s case. </w:t>
      </w:r>
      <w:r w:rsidRPr="00FA1EF0">
        <w:rPr>
          <w:rFonts w:ascii="Book Antiqua" w:hAnsi="Book Antiqua"/>
          <w:bCs/>
          <w:lang w:val="en-GB"/>
        </w:rPr>
        <w:t xml:space="preserve">It seems that even if the theory is disproved through hard evidence that absolves Sri Lanka, as in the case of the Mannar graves, a matter in which some sceptics sought to implicate the Government of Sri Lanka, such facts are cast aside for further inquiry. </w:t>
      </w:r>
    </w:p>
    <w:p w:rsidR="008525FD" w:rsidRPr="003A4D13" w:rsidRDefault="008525FD" w:rsidP="008525FD">
      <w:pPr>
        <w:pStyle w:val="ListParagraph"/>
        <w:spacing w:line="276" w:lineRule="auto"/>
        <w:jc w:val="both"/>
        <w:rPr>
          <w:rFonts w:ascii="Book Antiqua" w:hAnsi="Book Antiqua"/>
          <w:bCs/>
          <w:sz w:val="22"/>
          <w:szCs w:val="22"/>
          <w:lang w:val="en-GB"/>
        </w:rPr>
      </w:pPr>
    </w:p>
    <w:p w:rsidR="008525FD" w:rsidRDefault="008525FD" w:rsidP="008525FD">
      <w:pPr>
        <w:pStyle w:val="ListParagraph"/>
        <w:spacing w:line="276" w:lineRule="auto"/>
        <w:ind w:left="0"/>
        <w:jc w:val="both"/>
        <w:rPr>
          <w:rFonts w:ascii="Book Antiqua" w:hAnsi="Book Antiqua"/>
          <w:bCs/>
          <w:sz w:val="22"/>
          <w:szCs w:val="22"/>
          <w:lang w:val="en-GB"/>
        </w:rPr>
      </w:pPr>
      <w:r w:rsidRPr="0053384E">
        <w:rPr>
          <w:rFonts w:ascii="Book Antiqua" w:hAnsi="Book Antiqua"/>
          <w:bCs/>
          <w:sz w:val="22"/>
          <w:szCs w:val="22"/>
          <w:lang w:val="en-GB"/>
        </w:rPr>
        <w:t xml:space="preserve">At the same time, </w:t>
      </w:r>
      <w:r w:rsidRPr="005F47A7">
        <w:rPr>
          <w:rFonts w:ascii="Book Antiqua" w:hAnsi="Book Antiqua"/>
          <w:color w:val="222222"/>
          <w:sz w:val="22"/>
          <w:szCs w:val="22"/>
          <w:shd w:val="clear" w:color="auto" w:fill="FFFFFF"/>
        </w:rPr>
        <w:t xml:space="preserve">as stated earlier, </w:t>
      </w:r>
      <w:r w:rsidRPr="005F47A7">
        <w:rPr>
          <w:rFonts w:ascii="Book Antiqua" w:hAnsi="Book Antiqua"/>
          <w:bCs/>
          <w:sz w:val="22"/>
          <w:szCs w:val="22"/>
          <w:lang w:val="en-GB"/>
        </w:rPr>
        <w:t xml:space="preserve">when evidence surfaces, which </w:t>
      </w:r>
      <w:r w:rsidRPr="00FA1EF0">
        <w:rPr>
          <w:rFonts w:ascii="Book Antiqua" w:hAnsi="Book Antiqua"/>
          <w:bCs/>
          <w:sz w:val="22"/>
          <w:szCs w:val="22"/>
          <w:lang w:val="en-GB"/>
        </w:rPr>
        <w:t>contests the culpability of the Sri Lankan security forces and police in having deliberately caused civilian casualties during the last phase</w:t>
      </w:r>
      <w:r>
        <w:rPr>
          <w:rFonts w:ascii="Book Antiqua" w:hAnsi="Book Antiqua"/>
          <w:bCs/>
          <w:sz w:val="22"/>
          <w:szCs w:val="22"/>
          <w:lang w:val="en-GB"/>
        </w:rPr>
        <w:t xml:space="preserve"> of the conflict</w:t>
      </w:r>
      <w:r w:rsidRPr="005F47A7">
        <w:rPr>
          <w:rFonts w:ascii="Book Antiqua" w:hAnsi="Book Antiqua"/>
          <w:bCs/>
          <w:sz w:val="22"/>
          <w:szCs w:val="22"/>
          <w:lang w:val="en-GB"/>
        </w:rPr>
        <w:t xml:space="preserve">, this evidence is </w:t>
      </w:r>
      <w:r>
        <w:rPr>
          <w:rFonts w:ascii="Book Antiqua" w:hAnsi="Book Antiqua"/>
          <w:bCs/>
          <w:sz w:val="22"/>
          <w:szCs w:val="22"/>
          <w:lang w:val="en-GB"/>
        </w:rPr>
        <w:t>summarily disregarded.</w:t>
      </w:r>
    </w:p>
    <w:p w:rsidR="008525FD" w:rsidRDefault="008525FD" w:rsidP="008525FD">
      <w:pPr>
        <w:pStyle w:val="ListParagraph"/>
        <w:spacing w:line="276" w:lineRule="auto"/>
        <w:ind w:left="0"/>
        <w:jc w:val="both"/>
        <w:rPr>
          <w:rFonts w:ascii="Book Antiqua" w:hAnsi="Book Antiqua"/>
          <w:bCs/>
          <w:sz w:val="22"/>
          <w:szCs w:val="22"/>
          <w:lang w:val="en-GB"/>
        </w:rPr>
      </w:pPr>
    </w:p>
    <w:p w:rsidR="008525FD" w:rsidRPr="0053384E" w:rsidRDefault="008525FD" w:rsidP="008525FD">
      <w:pPr>
        <w:pStyle w:val="ListParagraph"/>
        <w:spacing w:line="276" w:lineRule="auto"/>
        <w:ind w:left="0"/>
        <w:jc w:val="both"/>
        <w:rPr>
          <w:rFonts w:ascii="Book Antiqua" w:hAnsi="Book Antiqua"/>
          <w:bCs/>
          <w:lang w:val="en-GB"/>
        </w:rPr>
      </w:pPr>
      <w:r>
        <w:rPr>
          <w:rFonts w:ascii="Book Antiqua" w:hAnsi="Book Antiqua"/>
          <w:bCs/>
          <w:sz w:val="22"/>
          <w:szCs w:val="22"/>
          <w:lang w:val="en-GB"/>
        </w:rPr>
        <w:t xml:space="preserve"> </w:t>
      </w:r>
      <w:r w:rsidRPr="005F47A7">
        <w:rPr>
          <w:rFonts w:ascii="Book Antiqua" w:hAnsi="Book Antiqua"/>
          <w:bCs/>
          <w:sz w:val="22"/>
          <w:szCs w:val="22"/>
          <w:lang w:val="en-GB"/>
        </w:rPr>
        <w:t xml:space="preserve"> </w:t>
      </w:r>
      <w:r w:rsidRPr="00FA1EF0">
        <w:rPr>
          <w:rFonts w:ascii="Book Antiqua" w:hAnsi="Book Antiqua"/>
          <w:bCs/>
          <w:sz w:val="22"/>
          <w:szCs w:val="22"/>
          <w:lang w:val="en-GB"/>
        </w:rPr>
        <w:t xml:space="preserve"> </w:t>
      </w:r>
    </w:p>
    <w:p w:rsidR="008525FD" w:rsidRPr="003A4D13" w:rsidRDefault="008525FD" w:rsidP="008525FD">
      <w:pPr>
        <w:spacing w:line="276" w:lineRule="auto"/>
        <w:jc w:val="both"/>
        <w:rPr>
          <w:rFonts w:ascii="Book Antiqua" w:hAnsi="Book Antiqua"/>
          <w:bCs/>
          <w:lang w:val="en-GB"/>
        </w:rPr>
      </w:pPr>
      <w:r w:rsidRPr="003A4D13">
        <w:rPr>
          <w:rFonts w:ascii="Book Antiqua" w:hAnsi="Book Antiqua"/>
          <w:bCs/>
          <w:lang w:val="en-GB"/>
        </w:rPr>
        <w:t>Madam High Commissioner,</w:t>
      </w:r>
    </w:p>
    <w:p w:rsidR="008525FD" w:rsidRPr="00FA1EF0" w:rsidRDefault="008525FD" w:rsidP="008525FD">
      <w:pPr>
        <w:spacing w:line="276" w:lineRule="auto"/>
        <w:jc w:val="both"/>
        <w:rPr>
          <w:rFonts w:ascii="Book Antiqua" w:hAnsi="Book Antiqua"/>
          <w:bCs/>
          <w:lang w:val="en-GB"/>
        </w:rPr>
      </w:pPr>
      <w:r>
        <w:rPr>
          <w:rFonts w:ascii="Book Antiqua" w:hAnsi="Book Antiqua"/>
          <w:bCs/>
          <w:lang w:val="en-GB"/>
        </w:rPr>
        <w:t xml:space="preserve">In referring to para 68 </w:t>
      </w:r>
      <w:r w:rsidRPr="005D0A4C">
        <w:rPr>
          <w:rFonts w:ascii="Book Antiqua" w:hAnsi="Book Antiqua"/>
          <w:bCs/>
          <w:lang w:val="en-GB"/>
        </w:rPr>
        <w:t>(</w:t>
      </w:r>
      <w:r>
        <w:rPr>
          <w:rFonts w:ascii="Book Antiqua" w:hAnsi="Book Antiqua"/>
          <w:bCs/>
          <w:lang w:val="en-GB"/>
        </w:rPr>
        <w:t>C</w:t>
      </w:r>
      <w:r w:rsidRPr="005D0A4C">
        <w:rPr>
          <w:rFonts w:ascii="Book Antiqua" w:hAnsi="Book Antiqua"/>
          <w:bCs/>
          <w:lang w:val="en-GB"/>
        </w:rPr>
        <w:t xml:space="preserve">) </w:t>
      </w:r>
      <w:r>
        <w:rPr>
          <w:rFonts w:ascii="Book Antiqua" w:hAnsi="Book Antiqua"/>
          <w:bCs/>
          <w:lang w:val="en-GB"/>
        </w:rPr>
        <w:t xml:space="preserve">of the OHCHR Report </w:t>
      </w:r>
      <w:bookmarkStart w:id="4" w:name="_Hlk3912303"/>
      <w:r w:rsidRPr="00FA1EF0">
        <w:rPr>
          <w:rFonts w:ascii="Book Antiqua" w:hAnsi="Book Antiqua"/>
          <w:bCs/>
          <w:lang w:val="en-GB"/>
        </w:rPr>
        <w:t>(A</w:t>
      </w:r>
      <w:bookmarkStart w:id="5" w:name="_Hlk3912589"/>
      <w:r w:rsidRPr="00FA1EF0">
        <w:rPr>
          <w:rFonts w:ascii="Book Antiqua" w:hAnsi="Book Antiqua"/>
          <w:bCs/>
          <w:lang w:val="en-GB"/>
        </w:rPr>
        <w:t>/</w:t>
      </w:r>
      <w:bookmarkEnd w:id="5"/>
      <w:r w:rsidRPr="00FA1EF0">
        <w:rPr>
          <w:rFonts w:ascii="Book Antiqua" w:hAnsi="Book Antiqua"/>
          <w:bCs/>
          <w:lang w:val="en-GB"/>
        </w:rPr>
        <w:t>HRC/40/23)</w:t>
      </w:r>
      <w:r>
        <w:rPr>
          <w:rFonts w:ascii="Book Antiqua" w:hAnsi="Book Antiqua"/>
          <w:bCs/>
          <w:lang w:val="en-GB"/>
        </w:rPr>
        <w:t>, which pertains to the Recommendations to GOSL, to ‘</w:t>
      </w:r>
      <w:r w:rsidRPr="00FA1EF0">
        <w:rPr>
          <w:rFonts w:ascii="Book Antiqua" w:hAnsi="Book Antiqua"/>
          <w:bCs/>
          <w:i/>
          <w:lang w:val="en-GB"/>
        </w:rPr>
        <w:t>to adopt legislation establishing a hybrid court to investigate allegation of violating and abuses of international law and violations of international humanitarian law’</w:t>
      </w:r>
      <w:r>
        <w:rPr>
          <w:rFonts w:ascii="Book Antiqua" w:hAnsi="Book Antiqua"/>
          <w:bCs/>
          <w:lang w:val="en-GB"/>
        </w:rPr>
        <w:t xml:space="preserve">, I wish to make it clear that </w:t>
      </w:r>
      <w:r w:rsidRPr="0053384E">
        <w:rPr>
          <w:rFonts w:ascii="Book Antiqua" w:hAnsi="Book Antiqua"/>
          <w:bCs/>
          <w:lang w:val="en-GB"/>
        </w:rPr>
        <w:t>our posi</w:t>
      </w:r>
      <w:r w:rsidRPr="005F47A7">
        <w:rPr>
          <w:rFonts w:ascii="Book Antiqua" w:hAnsi="Book Antiqua"/>
          <w:bCs/>
          <w:lang w:val="en-GB"/>
        </w:rPr>
        <w:t>tion on this matter is as follows</w:t>
      </w:r>
      <w:r>
        <w:rPr>
          <w:rFonts w:ascii="Book Antiqua" w:hAnsi="Book Antiqua"/>
          <w:bCs/>
          <w:lang w:val="en-GB"/>
        </w:rPr>
        <w:t>’</w:t>
      </w:r>
      <w:bookmarkEnd w:id="4"/>
      <w:r>
        <w:rPr>
          <w:rFonts w:ascii="Book Antiqua" w:hAnsi="Book Antiqua"/>
          <w:bCs/>
          <w:lang w:val="en-GB"/>
        </w:rPr>
        <w:t>,</w:t>
      </w:r>
    </w:p>
    <w:p w:rsidR="008525FD" w:rsidRDefault="008525FD" w:rsidP="008525FD">
      <w:pPr>
        <w:spacing w:line="276" w:lineRule="auto"/>
        <w:jc w:val="both"/>
        <w:rPr>
          <w:rFonts w:ascii="Book Antiqua" w:hAnsi="Book Antiqua" w:cs="Tahoma"/>
        </w:rPr>
      </w:pPr>
      <w:r w:rsidRPr="00FA1EF0">
        <w:rPr>
          <w:rFonts w:ascii="Book Antiqua" w:hAnsi="Book Antiqua" w:cs="Tahoma"/>
        </w:rPr>
        <w:t xml:space="preserve">The Government of Sri Lanka at the highest political levels, has both publicly and in discussions with the present and former High Commissioner for Human Rights and other interlocutors, explained the constitutional and legal </w:t>
      </w:r>
      <w:r w:rsidRPr="0053384E">
        <w:rPr>
          <w:rFonts w:ascii="Book Antiqua" w:hAnsi="Book Antiqua" w:cs="Tahoma"/>
        </w:rPr>
        <w:t>challenges</w:t>
      </w:r>
      <w:r w:rsidRPr="00FA1EF0">
        <w:rPr>
          <w:rFonts w:ascii="Book Antiqua" w:hAnsi="Book Antiqua" w:cs="Tahoma"/>
        </w:rPr>
        <w:t xml:space="preserve"> that preclude it from including non-citizens in its judicial processes</w:t>
      </w:r>
      <w:r>
        <w:rPr>
          <w:rFonts w:ascii="Book Antiqua" w:hAnsi="Book Antiqua" w:cs="Tahoma"/>
        </w:rPr>
        <w:t>.</w:t>
      </w:r>
      <w:r w:rsidRPr="00FA1EF0">
        <w:rPr>
          <w:rFonts w:ascii="Book Antiqua" w:hAnsi="Book Antiqua" w:cs="Tahoma"/>
        </w:rPr>
        <w:t xml:space="preserve"> It has been explained that if non-citizen judges are to be appointed in such a process, </w:t>
      </w:r>
      <w:r>
        <w:rPr>
          <w:rFonts w:ascii="Book Antiqua" w:hAnsi="Book Antiqua" w:cs="Tahoma"/>
        </w:rPr>
        <w:t>it will not be possible without an amendment to the Constitution by 2</w:t>
      </w:r>
      <w:r w:rsidRPr="005D0A4C">
        <w:rPr>
          <w:rFonts w:ascii="Book Antiqua" w:hAnsi="Book Antiqua"/>
          <w:bCs/>
          <w:lang w:val="en-GB"/>
        </w:rPr>
        <w:t>/</w:t>
      </w:r>
      <w:r>
        <w:rPr>
          <w:rFonts w:ascii="Book Antiqua" w:hAnsi="Book Antiqua"/>
          <w:bCs/>
          <w:lang w:val="en-GB"/>
        </w:rPr>
        <w:t>3 of members of the Parliament voting in favour and also the approval of the people at a referendum.</w:t>
      </w:r>
    </w:p>
    <w:p w:rsidR="008525FD" w:rsidRPr="003A4D13" w:rsidRDefault="008525FD" w:rsidP="008525FD">
      <w:pPr>
        <w:spacing w:line="276" w:lineRule="auto"/>
        <w:jc w:val="both"/>
        <w:rPr>
          <w:rFonts w:ascii="Book Antiqua" w:hAnsi="Book Antiqua"/>
          <w:bCs/>
          <w:lang w:val="en-GB"/>
        </w:rPr>
      </w:pPr>
      <w:r>
        <w:rPr>
          <w:rFonts w:ascii="Book Antiqua" w:hAnsi="Book Antiqua" w:cs="Tahoma"/>
        </w:rPr>
        <w:t xml:space="preserve">In </w:t>
      </w:r>
      <w:r w:rsidRPr="003A4D13">
        <w:rPr>
          <w:rFonts w:ascii="Book Antiqua" w:hAnsi="Book Antiqua"/>
          <w:bCs/>
          <w:lang w:val="en-GB"/>
        </w:rPr>
        <w:t xml:space="preserve">this backdrop, while countries including the co-sponsors acknowledge these ground realities in conversations, these incongruities should be corrected in letter as well, and Sri Lanka should be encouraged and assisted in finding innovative and viable local </w:t>
      </w:r>
      <w:r w:rsidRPr="003A4D13">
        <w:rPr>
          <w:rFonts w:ascii="Book Antiqua" w:hAnsi="Book Antiqua"/>
          <w:lang w:val="en-GB"/>
        </w:rPr>
        <w:t xml:space="preserve">mechanisms and processes which incorporates international best practices, particularly at a time when as recently demonstrated our judicial, </w:t>
      </w:r>
      <w:r>
        <w:rPr>
          <w:rFonts w:ascii="Book Antiqua" w:hAnsi="Book Antiqua"/>
          <w:lang w:val="en-GB"/>
        </w:rPr>
        <w:t xml:space="preserve">public service </w:t>
      </w:r>
      <w:r w:rsidRPr="003A4D13">
        <w:rPr>
          <w:rFonts w:ascii="Book Antiqua" w:hAnsi="Book Antiqua"/>
          <w:lang w:val="en-GB"/>
        </w:rPr>
        <w:t xml:space="preserve"> and defence institutions have </w:t>
      </w:r>
      <w:r>
        <w:rPr>
          <w:rFonts w:ascii="Book Antiqua" w:hAnsi="Book Antiqua"/>
          <w:lang w:val="en-GB"/>
        </w:rPr>
        <w:t>shown</w:t>
      </w:r>
      <w:r w:rsidRPr="003A4D13">
        <w:rPr>
          <w:rFonts w:ascii="Book Antiqua" w:hAnsi="Book Antiqua"/>
          <w:lang w:val="en-GB"/>
        </w:rPr>
        <w:t xml:space="preserve"> independence, resilience, robustness and resolve. It is only then, that we will be able to bring closure to these events, which </w:t>
      </w:r>
      <w:r w:rsidRPr="003A4D13">
        <w:rPr>
          <w:rFonts w:ascii="Book Antiqua" w:hAnsi="Book Antiqua"/>
          <w:bCs/>
          <w:lang w:val="en-GB"/>
        </w:rPr>
        <w:t xml:space="preserve">would “enjoy the confidence of victims and society at large”, as referred to in the High Commissioner’s Report.  </w:t>
      </w:r>
    </w:p>
    <w:p w:rsidR="008525FD" w:rsidRDefault="008525FD" w:rsidP="008525FD">
      <w:pPr>
        <w:spacing w:line="276" w:lineRule="auto"/>
        <w:jc w:val="both"/>
        <w:rPr>
          <w:rFonts w:ascii="Book Antiqua" w:hAnsi="Book Antiqua"/>
          <w:lang w:val="en-GB"/>
        </w:rPr>
      </w:pPr>
      <w:r w:rsidRPr="003A4D13">
        <w:rPr>
          <w:rFonts w:ascii="Book Antiqua" w:hAnsi="Book Antiqua"/>
          <w:bCs/>
          <w:lang w:val="en-GB"/>
        </w:rPr>
        <w:t>We all are eager to see results. However, pressing for time bound benchmarks to show quick results on decades old, sensitive and complex</w:t>
      </w:r>
      <w:r>
        <w:rPr>
          <w:rFonts w:ascii="Book Antiqua" w:hAnsi="Book Antiqua"/>
          <w:bCs/>
          <w:lang w:val="en-GB"/>
        </w:rPr>
        <w:t xml:space="preserve"> issues</w:t>
      </w:r>
      <w:r w:rsidRPr="003A4D13">
        <w:rPr>
          <w:rFonts w:ascii="Book Antiqua" w:hAnsi="Book Antiqua"/>
          <w:bCs/>
          <w:lang w:val="en-GB"/>
        </w:rPr>
        <w:t xml:space="preserve">, is bound for failure. </w:t>
      </w:r>
      <w:r>
        <w:rPr>
          <w:rFonts w:ascii="Book Antiqua" w:hAnsi="Book Antiqua"/>
          <w:bCs/>
          <w:lang w:val="en-GB"/>
        </w:rPr>
        <w:t xml:space="preserve">As a sovereign state, </w:t>
      </w:r>
      <w:r w:rsidRPr="003A4D13">
        <w:rPr>
          <w:rFonts w:ascii="Book Antiqua" w:hAnsi="Book Antiqua"/>
          <w:bCs/>
          <w:lang w:val="en-GB"/>
        </w:rPr>
        <w:t xml:space="preserve">Sri Lanka must set its priorities in addressing the well-being and sustainable peace for her people, as a sovereign state. Various historical, cultural, and religious sensitivities therefore need to be managed while pursuing the ultimate objective of upholding and protecting human rights. </w:t>
      </w:r>
      <w:r w:rsidRPr="003A4D13">
        <w:rPr>
          <w:rFonts w:ascii="Book Antiqua" w:hAnsi="Book Antiqua"/>
          <w:lang w:val="en-GB"/>
        </w:rPr>
        <w:t xml:space="preserve">Sri Lanka’s engagement and close cooperation with this Council and with all other human rights mechanisms derive indeed from political will and pledges by the Government in 2015 to the people of Sri Lanka, to build the nation’s future guaranteeing equal rights, justice and dignity for all citizens respecting and celebrating the diversity of the nation as a united and prosperous </w:t>
      </w:r>
      <w:r>
        <w:rPr>
          <w:rFonts w:ascii="Book Antiqua" w:hAnsi="Book Antiqua"/>
          <w:lang w:val="en-GB"/>
        </w:rPr>
        <w:t>country.</w:t>
      </w:r>
      <w:r w:rsidRPr="003A4D13">
        <w:rPr>
          <w:rFonts w:ascii="Book Antiqua" w:hAnsi="Book Antiqua"/>
          <w:lang w:val="en-GB"/>
        </w:rPr>
        <w:t xml:space="preserve"> </w:t>
      </w:r>
    </w:p>
    <w:p w:rsidR="008525FD" w:rsidRPr="003A4D13" w:rsidRDefault="008525FD" w:rsidP="008525FD">
      <w:pPr>
        <w:spacing w:line="276" w:lineRule="auto"/>
        <w:jc w:val="both"/>
        <w:rPr>
          <w:rFonts w:ascii="Book Antiqua" w:hAnsi="Book Antiqua"/>
          <w:lang w:val="en-GB"/>
        </w:rPr>
      </w:pPr>
      <w:r w:rsidRPr="003A4D13">
        <w:rPr>
          <w:rFonts w:ascii="Book Antiqua" w:hAnsi="Book Antiqua"/>
          <w:bCs/>
          <w:lang w:val="en-GB"/>
        </w:rPr>
        <w:t>Madam High Commissioner</w:t>
      </w:r>
      <w:r w:rsidRPr="003A4D13">
        <w:rPr>
          <w:rFonts w:ascii="Book Antiqua" w:hAnsi="Book Antiqua"/>
          <w:lang w:val="en-GB"/>
        </w:rPr>
        <w:t>,</w:t>
      </w:r>
    </w:p>
    <w:p w:rsidR="008525FD" w:rsidRDefault="008525FD" w:rsidP="008525FD">
      <w:pPr>
        <w:spacing w:line="276" w:lineRule="auto"/>
        <w:jc w:val="both"/>
        <w:rPr>
          <w:rFonts w:ascii="Book Antiqua" w:hAnsi="Book Antiqua"/>
          <w:lang w:val="en-GB"/>
        </w:rPr>
      </w:pPr>
      <w:r w:rsidRPr="003A4D13">
        <w:rPr>
          <w:rFonts w:ascii="Book Antiqua" w:hAnsi="Book Antiqua"/>
          <w:lang w:val="en-GB"/>
        </w:rPr>
        <w:t xml:space="preserve">In developing these transitional justice mechanisms, Sri Lanka does not believe there is justification for the setting up of an Office of the High Commissioner for Human Rights in Sri Lanka. </w:t>
      </w:r>
    </w:p>
    <w:p w:rsidR="008525FD" w:rsidRPr="003A4D13" w:rsidRDefault="008525FD" w:rsidP="008525FD">
      <w:pPr>
        <w:spacing w:line="276" w:lineRule="auto"/>
        <w:jc w:val="both"/>
        <w:rPr>
          <w:rFonts w:ascii="Book Antiqua" w:hAnsi="Book Antiqua"/>
          <w:lang w:val="en-GB"/>
        </w:rPr>
      </w:pPr>
      <w:r>
        <w:rPr>
          <w:rFonts w:ascii="Book Antiqua" w:hAnsi="Book Antiqua"/>
          <w:lang w:val="en-GB"/>
        </w:rPr>
        <w:t xml:space="preserve">This said </w:t>
      </w:r>
      <w:r w:rsidRPr="003A4D13">
        <w:rPr>
          <w:rFonts w:ascii="Book Antiqua" w:hAnsi="Book Antiqua"/>
          <w:lang w:val="en-GB"/>
        </w:rPr>
        <w:t xml:space="preserve">we welcome the benefit extended by the expertise and support of the UN and OHCHR, and in particular technical assistance from the technical advisers of the Special Rapporteur on the promotion of truth, justice, reparation and guarantees of non-recurrence. We also appreciate the understanding shown and the technical and financial assistance offered by other bilateral and multilateral partners. We would also welcome further capacity building, particularly training for judicial, prosecutorial, and investigation officers, in enhancing specialized skills in their respective areas and further improving the functions and credibility of the ongoing local processes. </w:t>
      </w:r>
    </w:p>
    <w:p w:rsidR="008525FD" w:rsidRPr="003A4D13" w:rsidRDefault="008525FD" w:rsidP="008525FD">
      <w:pPr>
        <w:spacing w:line="276" w:lineRule="auto"/>
        <w:jc w:val="both"/>
        <w:rPr>
          <w:rFonts w:ascii="Book Antiqua" w:hAnsi="Book Antiqua"/>
          <w:lang w:val="en-GB"/>
        </w:rPr>
      </w:pPr>
      <w:r>
        <w:rPr>
          <w:rFonts w:ascii="Book Antiqua" w:hAnsi="Book Antiqua"/>
          <w:lang w:val="en-GB"/>
        </w:rPr>
        <w:t>The</w:t>
      </w:r>
      <w:r w:rsidRPr="003A4D13">
        <w:rPr>
          <w:rFonts w:ascii="Book Antiqua" w:hAnsi="Book Antiqua"/>
          <w:lang w:val="en-GB"/>
        </w:rPr>
        <w:t xml:space="preserve"> Government </w:t>
      </w:r>
      <w:r>
        <w:rPr>
          <w:rFonts w:ascii="Book Antiqua" w:hAnsi="Book Antiqua"/>
          <w:lang w:val="en-GB"/>
        </w:rPr>
        <w:t xml:space="preserve">of Sri Lanka </w:t>
      </w:r>
      <w:r w:rsidRPr="003A4D13">
        <w:rPr>
          <w:rFonts w:ascii="Book Antiqua" w:hAnsi="Book Antiqua"/>
          <w:lang w:val="en-GB"/>
        </w:rPr>
        <w:t xml:space="preserve">looks forward to continuing our engagement with the Office of the UN High Commissioner for Human Rights, UN Human Rights mechanisms and procedures, and working in close cooperation with the international community in our journey towards achieving civil, political as well as socio-economic and cultural rights, and consolidating durable peace and reconciliation for our people. </w:t>
      </w:r>
    </w:p>
    <w:p w:rsidR="008525FD" w:rsidRDefault="008525FD" w:rsidP="008525FD">
      <w:pPr>
        <w:spacing w:line="276" w:lineRule="auto"/>
      </w:pPr>
      <w:r w:rsidRPr="003A4D13">
        <w:rPr>
          <w:rFonts w:ascii="Book Antiqua" w:hAnsi="Book Antiqua"/>
          <w:lang w:val="en-GB"/>
        </w:rPr>
        <w:t>I thank you.</w:t>
      </w:r>
    </w:p>
    <w:sectPr w:rsidR="008525FD" w:rsidSect="006748CE">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ABA" w:rsidRDefault="00CE4ABA" w:rsidP="008525FD">
      <w:pPr>
        <w:spacing w:after="0" w:line="240" w:lineRule="auto"/>
      </w:pPr>
      <w:r>
        <w:separator/>
      </w:r>
    </w:p>
  </w:endnote>
  <w:endnote w:type="continuationSeparator" w:id="0">
    <w:p w:rsidR="00CE4ABA" w:rsidRDefault="00CE4ABA" w:rsidP="0085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skoola Pota">
    <w:altName w:val="Nirmala UI"/>
    <w:charset w:val="00"/>
    <w:family w:val="swiss"/>
    <w:pitch w:val="variable"/>
    <w:sig w:usb0="00000003" w:usb1="00000000" w:usb2="00000200" w:usb3="00000000" w:csb0="00000001" w:csb1="00000000"/>
  </w:font>
  <w:font w:name="Latha">
    <w:panose1 w:val="02000400000000000000"/>
    <w:charset w:val="01"/>
    <w:family w:val="roman"/>
    <w:notTrueType/>
    <w:pitch w:val="variable"/>
    <w:sig w:usb0="0004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164567"/>
      <w:docPartObj>
        <w:docPartGallery w:val="Page Numbers (Bottom of Page)"/>
        <w:docPartUnique/>
      </w:docPartObj>
    </w:sdtPr>
    <w:sdtEndPr>
      <w:rPr>
        <w:noProof/>
      </w:rPr>
    </w:sdtEndPr>
    <w:sdtContent>
      <w:p w:rsidR="008525FD" w:rsidRDefault="008525FD">
        <w:pPr>
          <w:pStyle w:val="Footer"/>
          <w:jc w:val="right"/>
        </w:pPr>
        <w:r>
          <w:fldChar w:fldCharType="begin"/>
        </w:r>
        <w:r>
          <w:instrText xml:space="preserve"> PAGE   \* MERGEFORMAT </w:instrText>
        </w:r>
        <w:r>
          <w:fldChar w:fldCharType="separate"/>
        </w:r>
        <w:r w:rsidR="000C65D0">
          <w:rPr>
            <w:noProof/>
          </w:rPr>
          <w:t>1</w:t>
        </w:r>
        <w:r>
          <w:rPr>
            <w:noProof/>
          </w:rPr>
          <w:fldChar w:fldCharType="end"/>
        </w:r>
      </w:p>
    </w:sdtContent>
  </w:sdt>
  <w:p w:rsidR="008525FD" w:rsidRDefault="00852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ABA" w:rsidRDefault="00CE4ABA" w:rsidP="008525FD">
      <w:pPr>
        <w:spacing w:after="0" w:line="240" w:lineRule="auto"/>
      </w:pPr>
      <w:r>
        <w:separator/>
      </w:r>
    </w:p>
  </w:footnote>
  <w:footnote w:type="continuationSeparator" w:id="0">
    <w:p w:rsidR="00CE4ABA" w:rsidRDefault="00CE4ABA" w:rsidP="008525FD">
      <w:pPr>
        <w:spacing w:after="0" w:line="240" w:lineRule="auto"/>
      </w:pPr>
      <w:r>
        <w:continuationSeparator/>
      </w:r>
    </w:p>
  </w:footnote>
  <w:footnote w:id="1">
    <w:p w:rsidR="008525FD" w:rsidRPr="00A40AD8" w:rsidRDefault="008525FD" w:rsidP="008525FD">
      <w:pPr>
        <w:spacing w:after="0" w:line="240" w:lineRule="auto"/>
        <w:rPr>
          <w:rFonts w:ascii="Arial" w:eastAsia="Times New Roman" w:hAnsi="Arial" w:cs="Arial"/>
          <w:color w:val="660099"/>
          <w:sz w:val="24"/>
          <w:szCs w:val="24"/>
          <w:u w:val="single"/>
          <w:shd w:val="clear" w:color="auto" w:fill="FFFFFF"/>
          <w:lang/>
        </w:rPr>
      </w:pPr>
      <w:r>
        <w:rPr>
          <w:rStyle w:val="FootnoteReference"/>
        </w:rPr>
        <w:footnoteRef/>
      </w:r>
      <w:r>
        <w:t xml:space="preserve"> </w:t>
      </w:r>
      <w:hyperlink r:id="rId1" w:tgtFrame="_blank" w:history="1">
        <w:r w:rsidRPr="009A168A">
          <w:rPr>
            <w:rStyle w:val="Hyperlink"/>
            <w:rFonts w:ascii="Book Antiqua" w:hAnsi="Book Antiqua" w:cs="Arial"/>
            <w:color w:val="1155CC"/>
            <w:sz w:val="18"/>
            <w:szCs w:val="18"/>
            <w:shd w:val="clear" w:color="auto" w:fill="FFFFFF"/>
          </w:rPr>
          <w:t>https://hansard.parliament.uk/Lords/2017-10-12/debates/14CAA83D-8895-4182-8C4F-D964E0A5B399/SriLanka</w:t>
        </w:r>
      </w:hyperlink>
      <w:r>
        <w:rPr>
          <w:rFonts w:ascii="Book Antiqua" w:hAnsi="Book Antiqua"/>
          <w:sz w:val="18"/>
          <w:szCs w:val="18"/>
        </w:rPr>
        <w:t>;</w:t>
      </w:r>
      <w:r w:rsidRPr="009749F9">
        <w:t xml:space="preserve"> </w:t>
      </w:r>
      <w:r w:rsidRPr="00A40AD8">
        <w:rPr>
          <w:rFonts w:ascii="Times New Roman" w:eastAsia="Times New Roman" w:hAnsi="Times New Roman" w:cs="Times New Roman"/>
          <w:sz w:val="24"/>
          <w:szCs w:val="24"/>
          <w:lang/>
        </w:rPr>
        <w:fldChar w:fldCharType="begin"/>
      </w:r>
      <w:r w:rsidRPr="00A40AD8">
        <w:rPr>
          <w:rFonts w:ascii="Times New Roman" w:eastAsia="Times New Roman" w:hAnsi="Times New Roman" w:cs="Times New Roman"/>
          <w:sz w:val="24"/>
          <w:szCs w:val="24"/>
          <w:lang/>
        </w:rPr>
        <w:instrText xml:space="preserve"> HYPERLINK "https://parliament.lk/uploads/documents/paperspresented/report-of-paranagama.pdf" </w:instrText>
      </w:r>
      <w:r w:rsidRPr="00A40AD8">
        <w:rPr>
          <w:rFonts w:ascii="Times New Roman" w:eastAsia="Times New Roman" w:hAnsi="Times New Roman" w:cs="Times New Roman"/>
          <w:sz w:val="24"/>
          <w:szCs w:val="24"/>
          <w:lang/>
        </w:rPr>
        <w:fldChar w:fldCharType="separate"/>
      </w:r>
    </w:p>
    <w:p w:rsidR="008525FD" w:rsidRPr="00FA1EF0" w:rsidRDefault="008525FD" w:rsidP="008525FD">
      <w:pPr>
        <w:spacing w:after="0" w:line="240" w:lineRule="auto"/>
        <w:rPr>
          <w:rStyle w:val="Hyperlink"/>
          <w:rFonts w:ascii="Book Antiqua" w:hAnsi="Book Antiqua"/>
          <w:sz w:val="18"/>
          <w:szCs w:val="18"/>
        </w:rPr>
      </w:pPr>
      <w:r w:rsidRPr="00FA1EF0">
        <w:rPr>
          <w:rStyle w:val="Hyperlink"/>
          <w:rFonts w:ascii="Book Antiqua" w:hAnsi="Book Antiqua"/>
          <w:sz w:val="18"/>
          <w:szCs w:val="18"/>
        </w:rPr>
        <w:t>https://parliament.lk/uploads/documents/paperspresented/report-of-paranagama.pdf</w:t>
      </w:r>
    </w:p>
    <w:p w:rsidR="008525FD" w:rsidRDefault="008525FD" w:rsidP="008525FD">
      <w:pPr>
        <w:pStyle w:val="FootnoteText"/>
        <w:rPr>
          <w:rFonts w:ascii="Book Antiqua" w:hAnsi="Book Antiqua"/>
          <w:sz w:val="18"/>
          <w:szCs w:val="18"/>
        </w:rPr>
      </w:pPr>
      <w:r w:rsidRPr="00A40AD8">
        <w:rPr>
          <w:rFonts w:ascii="Times New Roman" w:eastAsia="Times New Roman" w:hAnsi="Times New Roman" w:cs="Times New Roman"/>
          <w:sz w:val="24"/>
          <w:szCs w:val="24"/>
          <w:lang w:bidi="ar-SA"/>
        </w:rPr>
        <w:fldChar w:fldCharType="end"/>
      </w:r>
      <w:r>
        <w:rPr>
          <w:rFonts w:ascii="Book Antiqua" w:hAnsi="Book Antiqua"/>
          <w:sz w:val="18"/>
          <w:szCs w:val="18"/>
        </w:rPr>
        <w:t xml:space="preserve"> </w:t>
      </w:r>
      <w:hyperlink r:id="rId2" w:history="1">
        <w:r w:rsidRPr="00FD20A0">
          <w:rPr>
            <w:rStyle w:val="Hyperlink"/>
            <w:rFonts w:ascii="Book Antiqua" w:hAnsi="Book Antiqua"/>
            <w:sz w:val="18"/>
            <w:szCs w:val="18"/>
          </w:rPr>
          <w:t>http://margastorehouse.org/The%20Last%20Stages%20of%20the%20war%20in%20Sri%20Lanka.pdf</w:t>
        </w:r>
      </w:hyperlink>
      <w:r>
        <w:rPr>
          <w:rFonts w:ascii="Book Antiqua" w:hAnsi="Book Antiqua"/>
          <w:sz w:val="18"/>
          <w:szCs w:val="18"/>
        </w:rPr>
        <w:t>;</w:t>
      </w:r>
    </w:p>
    <w:p w:rsidR="008525FD" w:rsidRDefault="008525FD" w:rsidP="008525FD">
      <w:pPr>
        <w:pStyle w:val="FootnoteText"/>
        <w:rPr>
          <w:rFonts w:ascii="Book Antiqua" w:hAnsi="Book Antiqua"/>
          <w:sz w:val="18"/>
          <w:szCs w:val="18"/>
        </w:rPr>
      </w:pPr>
    </w:p>
    <w:p w:rsidR="008525FD" w:rsidRDefault="008525FD" w:rsidP="008525F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01D06"/>
    <w:multiLevelType w:val="hybridMultilevel"/>
    <w:tmpl w:val="FC6AF230"/>
    <w:lvl w:ilvl="0" w:tplc="4E6AA40C">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CE"/>
    <w:rsid w:val="000C65D0"/>
    <w:rsid w:val="003468AF"/>
    <w:rsid w:val="004E2CA5"/>
    <w:rsid w:val="006748CE"/>
    <w:rsid w:val="008525FD"/>
    <w:rsid w:val="00CE4ABA"/>
    <w:rsid w:val="00CF5CD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56153-1ABB-4729-9C1D-86DA5C06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8CE"/>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25FD"/>
    <w:pPr>
      <w:spacing w:after="0" w:line="240" w:lineRule="auto"/>
      <w:ind w:left="720"/>
      <w:contextualSpacing/>
    </w:pPr>
    <w:rPr>
      <w:rFonts w:ascii="Times New Roman" w:eastAsia="Times New Roman" w:hAnsi="Times New Roman" w:cs="Times New Roman"/>
      <w:sz w:val="24"/>
      <w:szCs w:val="24"/>
      <w:lang w:val="de-CH" w:eastAsia="de-CH"/>
    </w:rPr>
  </w:style>
  <w:style w:type="character" w:styleId="Hyperlink">
    <w:name w:val="Hyperlink"/>
    <w:uiPriority w:val="99"/>
    <w:unhideWhenUsed/>
    <w:rsid w:val="008525FD"/>
    <w:rPr>
      <w:color w:val="0563C1"/>
      <w:u w:val="single"/>
    </w:rPr>
  </w:style>
  <w:style w:type="paragraph" w:styleId="NoSpacing">
    <w:name w:val="No Spacing"/>
    <w:uiPriority w:val="1"/>
    <w:qFormat/>
    <w:rsid w:val="008525FD"/>
    <w:pPr>
      <w:spacing w:after="0" w:line="240" w:lineRule="auto"/>
    </w:pPr>
    <w:rPr>
      <w:rFonts w:ascii="Calibri" w:eastAsia="Calibri" w:hAnsi="Calibri" w:cs="Iskoola Pota"/>
      <w:sz w:val="22"/>
      <w:lang w:bidi="si-LK"/>
    </w:rPr>
  </w:style>
  <w:style w:type="paragraph" w:styleId="FootnoteText">
    <w:name w:val="footnote text"/>
    <w:basedOn w:val="Normal"/>
    <w:link w:val="FootnoteTextChar"/>
    <w:uiPriority w:val="99"/>
    <w:semiHidden/>
    <w:unhideWhenUsed/>
    <w:rsid w:val="008525FD"/>
    <w:rPr>
      <w:rFonts w:ascii="Calibri" w:eastAsia="Calibri" w:hAnsi="Calibri" w:cs="Latha"/>
      <w:sz w:val="20"/>
      <w:szCs w:val="20"/>
      <w:lang w:bidi="ta-IN"/>
    </w:rPr>
  </w:style>
  <w:style w:type="character" w:customStyle="1" w:styleId="FootnoteTextChar">
    <w:name w:val="Footnote Text Char"/>
    <w:basedOn w:val="DefaultParagraphFont"/>
    <w:link w:val="FootnoteText"/>
    <w:uiPriority w:val="99"/>
    <w:semiHidden/>
    <w:rsid w:val="008525FD"/>
    <w:rPr>
      <w:rFonts w:ascii="Calibri" w:eastAsia="Calibri" w:hAnsi="Calibri" w:cs="Latha"/>
      <w:sz w:val="20"/>
      <w:szCs w:val="20"/>
      <w:lang w:bidi="ta-IN"/>
    </w:rPr>
  </w:style>
  <w:style w:type="character" w:styleId="FootnoteReference">
    <w:name w:val="footnote reference"/>
    <w:uiPriority w:val="99"/>
    <w:semiHidden/>
    <w:unhideWhenUsed/>
    <w:rsid w:val="008525FD"/>
    <w:rPr>
      <w:vertAlign w:val="superscript"/>
    </w:rPr>
  </w:style>
  <w:style w:type="paragraph" w:styleId="Header">
    <w:name w:val="header"/>
    <w:basedOn w:val="Normal"/>
    <w:link w:val="HeaderChar"/>
    <w:uiPriority w:val="99"/>
    <w:unhideWhenUsed/>
    <w:rsid w:val="00852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5FD"/>
    <w:rPr>
      <w:rFonts w:asciiTheme="minorHAnsi" w:hAnsiTheme="minorHAnsi" w:cstheme="minorBidi"/>
      <w:sz w:val="22"/>
    </w:rPr>
  </w:style>
  <w:style w:type="paragraph" w:styleId="Footer">
    <w:name w:val="footer"/>
    <w:basedOn w:val="Normal"/>
    <w:link w:val="FooterChar"/>
    <w:uiPriority w:val="99"/>
    <w:unhideWhenUsed/>
    <w:rsid w:val="00852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5FD"/>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margastorehouse.org/The%20Last%20Stages%20of%20the%20war%20in%20Sri%20Lanka.pdf" TargetMode="External"/><Relationship Id="rId1" Type="http://schemas.openxmlformats.org/officeDocument/2006/relationships/hyperlink" Target="https://hansard.parliament.uk/Lords/2017-10-12/debates/14CAA83D-8895-4182-8C4F-D964E0A5B399/SriLan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f75f94f591808573e3d6cb8938bf1f7b">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00CA1-2C2C-4116-8E38-87ACF84E7F93}"/>
</file>

<file path=customXml/itemProps2.xml><?xml version="1.0" encoding="utf-8"?>
<ds:datastoreItem xmlns:ds="http://schemas.openxmlformats.org/officeDocument/2006/customXml" ds:itemID="{34BCF175-B3B9-450D-B1A4-D59347C387ED}"/>
</file>

<file path=customXml/itemProps3.xml><?xml version="1.0" encoding="utf-8"?>
<ds:datastoreItem xmlns:ds="http://schemas.openxmlformats.org/officeDocument/2006/customXml" ds:itemID="{F0FEAB26-F4E0-4D08-B8A7-036590639E8A}"/>
</file>

<file path=docProps/app.xml><?xml version="1.0" encoding="utf-8"?>
<Properties xmlns="http://schemas.openxmlformats.org/officeDocument/2006/extended-properties" xmlns:vt="http://schemas.openxmlformats.org/officeDocument/2006/docPropsVTypes">
  <Template>Normal.dotm</Template>
  <TotalTime>1</TotalTime>
  <Pages>12</Pages>
  <Words>3744</Words>
  <Characters>21347</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UNEP/BRS</Company>
  <LinksUpToDate>false</LinksUpToDate>
  <CharactersWithSpaces>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Lanka Mission in Geneva</dc:creator>
  <cp:keywords/>
  <dc:description/>
  <cp:lastModifiedBy>RADOVIC Gala</cp:lastModifiedBy>
  <cp:revision>2</cp:revision>
  <dcterms:created xsi:type="dcterms:W3CDTF">2019-03-20T10:04:00Z</dcterms:created>
  <dcterms:modified xsi:type="dcterms:W3CDTF">2019-03-20T10:04:00Z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