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CE" w:rsidRDefault="006748CE" w:rsidP="006748CE">
      <w:pPr>
        <w:jc w:val="center"/>
        <w:rPr>
          <w:rFonts w:ascii="Tahoma" w:hAnsi="Tahoma" w:cs="Tahoma"/>
          <w:sz w:val="28"/>
          <w:szCs w:val="28"/>
        </w:rPr>
      </w:pPr>
      <w:bookmarkStart w:id="0" w:name="_GoBack"/>
      <w:bookmarkEnd w:id="0"/>
      <w:r w:rsidRPr="00FD6E57">
        <w:rPr>
          <w:rFonts w:ascii="Tahoma" w:hAnsi="Tahoma" w:cs="Tahoma"/>
          <w:noProof/>
          <w:sz w:val="28"/>
          <w:szCs w:val="28"/>
          <w:lang w:val="en-GB" w:eastAsia="en-GB"/>
        </w:rPr>
        <w:drawing>
          <wp:inline distT="0" distB="0" distL="0" distR="0" wp14:anchorId="073E6A2E" wp14:editId="007C0F67">
            <wp:extent cx="578997" cy="825380"/>
            <wp:effectExtent l="0" t="0" r="0" b="0"/>
            <wp:docPr id="2" name="Picture 2" descr="C:\Users\slmissi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mission\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29" cy="850943"/>
                    </a:xfrm>
                    <a:prstGeom prst="rect">
                      <a:avLst/>
                    </a:prstGeom>
                    <a:noFill/>
                    <a:ln>
                      <a:noFill/>
                    </a:ln>
                  </pic:spPr>
                </pic:pic>
              </a:graphicData>
            </a:graphic>
          </wp:inline>
        </w:drawing>
      </w:r>
    </w:p>
    <w:p w:rsidR="006748CE" w:rsidRDefault="006748CE" w:rsidP="006748CE">
      <w:pPr>
        <w:jc w:val="center"/>
        <w:rPr>
          <w:rFonts w:ascii="Tahoma" w:hAnsi="Tahoma" w:cs="Tahoma"/>
          <w:sz w:val="28"/>
          <w:szCs w:val="28"/>
        </w:rPr>
      </w:pPr>
    </w:p>
    <w:p w:rsidR="006748CE" w:rsidRPr="00C606CA" w:rsidRDefault="006748CE" w:rsidP="006748CE">
      <w:pPr>
        <w:jc w:val="center"/>
        <w:rPr>
          <w:rFonts w:ascii="Tahoma" w:hAnsi="Tahoma" w:cs="Tahoma"/>
          <w:b/>
          <w:bCs/>
          <w:sz w:val="32"/>
          <w:szCs w:val="32"/>
        </w:rPr>
      </w:pPr>
      <w:r w:rsidRPr="00C606CA">
        <w:rPr>
          <w:rFonts w:ascii="Tahoma" w:hAnsi="Tahoma" w:cs="Tahoma"/>
          <w:b/>
          <w:bCs/>
          <w:sz w:val="32"/>
          <w:szCs w:val="32"/>
        </w:rPr>
        <w:t xml:space="preserve">The Permanent Mission of Sri Lanka to the </w:t>
      </w:r>
    </w:p>
    <w:p w:rsidR="006748CE" w:rsidRDefault="006748CE" w:rsidP="006748CE">
      <w:pPr>
        <w:jc w:val="center"/>
        <w:rPr>
          <w:rFonts w:ascii="Tahoma" w:hAnsi="Tahoma" w:cs="Tahoma"/>
          <w:b/>
          <w:bCs/>
          <w:sz w:val="32"/>
          <w:szCs w:val="32"/>
        </w:rPr>
      </w:pPr>
      <w:r w:rsidRPr="00C606CA">
        <w:rPr>
          <w:rFonts w:ascii="Tahoma" w:hAnsi="Tahoma" w:cs="Tahoma"/>
          <w:b/>
          <w:bCs/>
          <w:sz w:val="32"/>
          <w:szCs w:val="32"/>
        </w:rPr>
        <w:t xml:space="preserve">United Nations and Other International Organizations in </w:t>
      </w:r>
    </w:p>
    <w:p w:rsidR="006748CE" w:rsidRPr="00C606CA" w:rsidRDefault="006748CE" w:rsidP="006748CE">
      <w:pPr>
        <w:jc w:val="center"/>
        <w:rPr>
          <w:rFonts w:ascii="Tahoma" w:hAnsi="Tahoma" w:cs="Tahoma"/>
          <w:b/>
          <w:bCs/>
          <w:sz w:val="32"/>
          <w:szCs w:val="32"/>
        </w:rPr>
      </w:pPr>
      <w:r w:rsidRPr="00C606CA">
        <w:rPr>
          <w:rFonts w:ascii="Tahoma" w:hAnsi="Tahoma" w:cs="Tahoma"/>
          <w:b/>
          <w:bCs/>
          <w:sz w:val="32"/>
          <w:szCs w:val="32"/>
        </w:rPr>
        <w:t>Geneva</w:t>
      </w:r>
    </w:p>
    <w:p w:rsidR="006748CE" w:rsidRDefault="006748CE" w:rsidP="006748CE">
      <w:pPr>
        <w:jc w:val="center"/>
        <w:rPr>
          <w:rFonts w:ascii="Tahoma" w:hAnsi="Tahoma" w:cs="Tahoma"/>
          <w:sz w:val="28"/>
          <w:szCs w:val="28"/>
        </w:rPr>
      </w:pPr>
    </w:p>
    <w:p w:rsidR="006748CE" w:rsidRDefault="006748CE" w:rsidP="006748CE">
      <w:pPr>
        <w:jc w:val="center"/>
        <w:rPr>
          <w:rFonts w:ascii="Tahoma" w:hAnsi="Tahoma" w:cs="Tahoma"/>
          <w:sz w:val="28"/>
          <w:szCs w:val="28"/>
        </w:rPr>
      </w:pPr>
    </w:p>
    <w:p w:rsidR="006748CE" w:rsidRDefault="006748CE" w:rsidP="006748CE">
      <w:pPr>
        <w:jc w:val="center"/>
        <w:rPr>
          <w:rFonts w:ascii="Tahoma" w:hAnsi="Tahoma" w:cs="Tahoma"/>
          <w:sz w:val="28"/>
          <w:szCs w:val="28"/>
        </w:rPr>
      </w:pPr>
    </w:p>
    <w:p w:rsidR="006748CE" w:rsidRPr="003468AF" w:rsidRDefault="006748CE" w:rsidP="006748CE">
      <w:pPr>
        <w:jc w:val="center"/>
        <w:rPr>
          <w:rFonts w:ascii="Tahoma" w:hAnsi="Tahoma" w:cs="Tahoma"/>
          <w:b/>
          <w:bCs/>
          <w:sz w:val="34"/>
          <w:szCs w:val="34"/>
        </w:rPr>
      </w:pPr>
      <w:r w:rsidRPr="003468AF">
        <w:rPr>
          <w:rFonts w:ascii="Tahoma" w:hAnsi="Tahoma" w:cs="Tahoma"/>
          <w:b/>
          <w:bCs/>
          <w:sz w:val="34"/>
          <w:szCs w:val="34"/>
        </w:rPr>
        <w:t>Human Rights Council</w:t>
      </w:r>
    </w:p>
    <w:p w:rsidR="006748CE" w:rsidRPr="003468AF" w:rsidRDefault="006748CE" w:rsidP="006748CE">
      <w:pPr>
        <w:jc w:val="center"/>
        <w:rPr>
          <w:rFonts w:ascii="Tahoma" w:hAnsi="Tahoma" w:cs="Tahoma"/>
          <w:b/>
          <w:bCs/>
          <w:sz w:val="34"/>
          <w:szCs w:val="34"/>
        </w:rPr>
      </w:pPr>
      <w:r w:rsidRPr="003468AF">
        <w:rPr>
          <w:rFonts w:ascii="Tahoma" w:hAnsi="Tahoma" w:cs="Tahoma"/>
          <w:b/>
          <w:bCs/>
          <w:sz w:val="34"/>
          <w:szCs w:val="34"/>
        </w:rPr>
        <w:t>40</w:t>
      </w:r>
      <w:r w:rsidRPr="003468AF">
        <w:rPr>
          <w:rFonts w:ascii="Tahoma" w:hAnsi="Tahoma" w:cs="Tahoma"/>
          <w:b/>
          <w:bCs/>
          <w:sz w:val="34"/>
          <w:szCs w:val="34"/>
          <w:vertAlign w:val="superscript"/>
        </w:rPr>
        <w:t>th</w:t>
      </w:r>
      <w:r w:rsidRPr="003468AF">
        <w:rPr>
          <w:rFonts w:ascii="Tahoma" w:hAnsi="Tahoma" w:cs="Tahoma"/>
          <w:b/>
          <w:bCs/>
          <w:sz w:val="34"/>
          <w:szCs w:val="34"/>
        </w:rPr>
        <w:t xml:space="preserve"> Regular Session</w:t>
      </w:r>
    </w:p>
    <w:p w:rsidR="006748CE" w:rsidRDefault="006748CE" w:rsidP="006748CE">
      <w:pPr>
        <w:jc w:val="center"/>
        <w:rPr>
          <w:rFonts w:ascii="Tahoma" w:hAnsi="Tahoma" w:cs="Tahoma"/>
          <w:sz w:val="28"/>
          <w:szCs w:val="28"/>
        </w:rPr>
      </w:pPr>
    </w:p>
    <w:p w:rsidR="006748CE" w:rsidRDefault="006748CE" w:rsidP="006748CE">
      <w:pPr>
        <w:jc w:val="center"/>
        <w:rPr>
          <w:rFonts w:ascii="Tahoma" w:hAnsi="Tahoma" w:cs="Tahoma"/>
          <w:sz w:val="28"/>
          <w:szCs w:val="28"/>
        </w:rPr>
      </w:pPr>
    </w:p>
    <w:p w:rsidR="006748CE" w:rsidRDefault="006748CE" w:rsidP="006748CE">
      <w:pPr>
        <w:jc w:val="center"/>
        <w:rPr>
          <w:rFonts w:ascii="Tahoma" w:hAnsi="Tahoma" w:cs="Tahoma"/>
          <w:sz w:val="28"/>
          <w:szCs w:val="28"/>
        </w:rPr>
      </w:pPr>
      <w:r>
        <w:rPr>
          <w:rFonts w:ascii="Tahoma" w:hAnsi="Tahoma" w:cs="Tahoma"/>
          <w:sz w:val="28"/>
          <w:szCs w:val="28"/>
        </w:rPr>
        <w:t>Agenda Item 2</w:t>
      </w:r>
    </w:p>
    <w:p w:rsidR="006748CE" w:rsidRDefault="006748CE" w:rsidP="006748CE">
      <w:pPr>
        <w:jc w:val="center"/>
        <w:rPr>
          <w:rFonts w:ascii="Tahoma" w:hAnsi="Tahoma" w:cs="Tahoma"/>
          <w:sz w:val="28"/>
          <w:szCs w:val="28"/>
        </w:rPr>
      </w:pPr>
      <w:r w:rsidRPr="006748CE">
        <w:rPr>
          <w:rFonts w:ascii="Tahoma" w:hAnsi="Tahoma" w:cs="Tahoma"/>
          <w:sz w:val="28"/>
          <w:szCs w:val="28"/>
        </w:rPr>
        <w:t>Interactive Dialogue with the High Commissioner for Human Rights on ‘Promoting Reconciliation, Accountability and Human Rights in Sri Lanka</w:t>
      </w:r>
      <w:r w:rsidR="00CF5CDD">
        <w:rPr>
          <w:rFonts w:ascii="Tahoma" w:hAnsi="Tahoma" w:cs="Tahoma"/>
          <w:sz w:val="28"/>
          <w:szCs w:val="28"/>
        </w:rPr>
        <w:t>’</w:t>
      </w:r>
    </w:p>
    <w:p w:rsidR="006748CE" w:rsidRDefault="006748CE" w:rsidP="006748CE">
      <w:pPr>
        <w:jc w:val="center"/>
        <w:rPr>
          <w:rFonts w:ascii="Tahoma" w:hAnsi="Tahoma" w:cs="Tahoma"/>
          <w:sz w:val="28"/>
          <w:szCs w:val="28"/>
        </w:rPr>
      </w:pPr>
    </w:p>
    <w:p w:rsidR="006748CE" w:rsidRDefault="006748CE" w:rsidP="006748CE">
      <w:pPr>
        <w:jc w:val="center"/>
        <w:rPr>
          <w:rFonts w:ascii="Tahoma" w:hAnsi="Tahoma" w:cs="Tahoma"/>
          <w:sz w:val="28"/>
          <w:szCs w:val="28"/>
        </w:rPr>
      </w:pPr>
      <w:r>
        <w:rPr>
          <w:rFonts w:ascii="Tahoma" w:hAnsi="Tahoma" w:cs="Tahoma"/>
          <w:sz w:val="28"/>
          <w:szCs w:val="28"/>
        </w:rPr>
        <w:t>Statement by</w:t>
      </w:r>
    </w:p>
    <w:p w:rsidR="006748CE" w:rsidRDefault="006748CE" w:rsidP="006748CE">
      <w:pPr>
        <w:jc w:val="center"/>
        <w:rPr>
          <w:rFonts w:ascii="Tahoma" w:hAnsi="Tahoma" w:cs="Tahoma"/>
          <w:sz w:val="28"/>
          <w:szCs w:val="28"/>
        </w:rPr>
      </w:pPr>
    </w:p>
    <w:p w:rsidR="006748CE" w:rsidRPr="00445CBB" w:rsidRDefault="006748CE" w:rsidP="006748CE">
      <w:pPr>
        <w:jc w:val="center"/>
        <w:rPr>
          <w:rFonts w:ascii="Tahoma" w:hAnsi="Tahoma" w:cs="Tahoma"/>
          <w:b/>
          <w:bCs/>
          <w:sz w:val="28"/>
          <w:szCs w:val="28"/>
        </w:rPr>
      </w:pPr>
      <w:r w:rsidRPr="00445CBB">
        <w:rPr>
          <w:rFonts w:ascii="Tahoma" w:hAnsi="Tahoma" w:cs="Tahoma"/>
          <w:b/>
          <w:bCs/>
          <w:sz w:val="28"/>
          <w:szCs w:val="28"/>
        </w:rPr>
        <w:t>Hon. Tilak Marapana, PC., MP</w:t>
      </w:r>
    </w:p>
    <w:p w:rsidR="006748CE" w:rsidRDefault="006748CE" w:rsidP="006748CE">
      <w:pPr>
        <w:jc w:val="center"/>
        <w:rPr>
          <w:rFonts w:ascii="Tahoma" w:hAnsi="Tahoma" w:cs="Tahoma"/>
          <w:b/>
          <w:bCs/>
          <w:sz w:val="28"/>
          <w:szCs w:val="28"/>
        </w:rPr>
      </w:pPr>
      <w:r w:rsidRPr="00445CBB">
        <w:rPr>
          <w:rFonts w:ascii="Tahoma" w:hAnsi="Tahoma" w:cs="Tahoma"/>
          <w:b/>
          <w:bCs/>
          <w:sz w:val="28"/>
          <w:szCs w:val="28"/>
        </w:rPr>
        <w:t>Minister of Foreign Affairs of Sri Lanka</w:t>
      </w:r>
    </w:p>
    <w:p w:rsidR="006748CE" w:rsidRDefault="006748CE" w:rsidP="006748CE">
      <w:pPr>
        <w:jc w:val="center"/>
        <w:rPr>
          <w:rFonts w:ascii="Tahoma" w:hAnsi="Tahoma" w:cs="Tahoma"/>
          <w:b/>
          <w:bCs/>
          <w:sz w:val="28"/>
          <w:szCs w:val="28"/>
        </w:rPr>
      </w:pPr>
      <w:r w:rsidRPr="00A66F13">
        <w:rPr>
          <w:rFonts w:ascii="Tahoma" w:hAnsi="Tahoma" w:cs="Tahoma"/>
          <w:b/>
          <w:bCs/>
          <w:sz w:val="28"/>
          <w:szCs w:val="28"/>
        </w:rPr>
        <w:t>(Leader of Sri Lanka Delegation)</w:t>
      </w:r>
    </w:p>
    <w:p w:rsidR="006748CE" w:rsidRPr="00A66F13" w:rsidRDefault="006748CE" w:rsidP="006748CE">
      <w:pPr>
        <w:jc w:val="center"/>
        <w:rPr>
          <w:rFonts w:ascii="Tahoma" w:hAnsi="Tahoma" w:cs="Tahoma"/>
          <w:b/>
          <w:bCs/>
          <w:sz w:val="28"/>
          <w:szCs w:val="28"/>
        </w:rPr>
      </w:pPr>
    </w:p>
    <w:p w:rsidR="004E2CA5" w:rsidRDefault="006748CE" w:rsidP="006748CE">
      <w:pPr>
        <w:jc w:val="center"/>
        <w:rPr>
          <w:rFonts w:ascii="Tahoma" w:hAnsi="Tahoma" w:cs="Tahoma"/>
          <w:sz w:val="28"/>
          <w:szCs w:val="28"/>
        </w:rPr>
      </w:pPr>
      <w:r>
        <w:rPr>
          <w:rFonts w:ascii="Tahoma" w:hAnsi="Tahoma" w:cs="Tahoma"/>
          <w:sz w:val="28"/>
          <w:szCs w:val="28"/>
        </w:rPr>
        <w:t>(20 March 2019</w:t>
      </w:r>
      <w:r w:rsidR="003468AF">
        <w:rPr>
          <w:rFonts w:ascii="Tahoma" w:hAnsi="Tahoma" w:cs="Tahoma"/>
          <w:sz w:val="28"/>
          <w:szCs w:val="28"/>
        </w:rPr>
        <w:t>, Geneva</w:t>
      </w:r>
      <w:r>
        <w:rPr>
          <w:rFonts w:ascii="Tahoma" w:hAnsi="Tahoma" w:cs="Tahoma"/>
          <w:sz w:val="28"/>
          <w:szCs w:val="28"/>
        </w:rPr>
        <w:t>)</w:t>
      </w:r>
    </w:p>
    <w:p w:rsidR="008525FD" w:rsidRPr="003A4D13" w:rsidRDefault="008525FD" w:rsidP="008525FD">
      <w:pPr>
        <w:spacing w:line="240" w:lineRule="auto"/>
        <w:jc w:val="both"/>
        <w:rPr>
          <w:rFonts w:ascii="Book Antiqua" w:hAnsi="Book Antiqua"/>
          <w:b/>
          <w:bCs/>
          <w:lang w:val="en-GB"/>
        </w:rPr>
      </w:pPr>
      <w:r w:rsidRPr="003A4D13">
        <w:rPr>
          <w:rFonts w:ascii="Book Antiqua" w:hAnsi="Book Antiqua"/>
          <w:b/>
          <w:bCs/>
          <w:lang w:val="en-GB"/>
        </w:rPr>
        <w:lastRenderedPageBreak/>
        <w:t>Statement by Hon. Tilak Marapana, P.C. Minister of Foreign Affairs of Sri Lanka and Leader  of the Sri Lanka Delegation to the 40</w:t>
      </w:r>
      <w:r w:rsidRPr="003A4D13">
        <w:rPr>
          <w:rFonts w:ascii="Book Antiqua" w:hAnsi="Book Antiqua"/>
          <w:b/>
          <w:bCs/>
          <w:vertAlign w:val="superscript"/>
          <w:lang w:val="en-GB"/>
        </w:rPr>
        <w:t>th</w:t>
      </w:r>
      <w:r w:rsidRPr="003A4D13">
        <w:rPr>
          <w:rFonts w:ascii="Book Antiqua" w:hAnsi="Book Antiqua"/>
          <w:b/>
          <w:bCs/>
          <w:lang w:val="en-GB"/>
        </w:rPr>
        <w:t xml:space="preserve"> Session of the Human Rights Council on Agenda </w:t>
      </w:r>
      <w:r w:rsidRPr="003A4D13">
        <w:rPr>
          <w:rFonts w:ascii="Book Antiqua" w:hAnsi="Book Antiqua"/>
          <w:b/>
          <w:bCs/>
          <w:lang w:val="en-GB"/>
        </w:rPr>
        <w:br/>
        <w:t>Item 2 - Interactive Dialogue with the High Commissioner for Human Rights on ‘Promoting Reconciliation, Accountability and Human Rights in Sri Lanka: 20 March 2019 – Geneva</w:t>
      </w:r>
    </w:p>
    <w:p w:rsidR="008525FD" w:rsidRPr="003A4D13" w:rsidRDefault="008525FD" w:rsidP="008525FD">
      <w:pPr>
        <w:spacing w:line="276" w:lineRule="auto"/>
        <w:jc w:val="both"/>
        <w:rPr>
          <w:rFonts w:ascii="Book Antiqua" w:hAnsi="Book Antiqua" w:cs="Tahoma"/>
        </w:rPr>
      </w:pP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Mr. President,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Madam High Commissioner/Deputy High Commissioner,</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Members of the Council and Delegates to the 40th Session of HRC,</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Ladies and Gentlemen.</w:t>
      </w:r>
    </w:p>
    <w:p w:rsidR="008525FD" w:rsidRPr="003A4D13" w:rsidRDefault="008525FD" w:rsidP="008525FD">
      <w:pPr>
        <w:spacing w:line="276" w:lineRule="auto"/>
        <w:jc w:val="both"/>
        <w:rPr>
          <w:rFonts w:ascii="Book Antiqua" w:hAnsi="Book Antiqua" w:cs="Tahoma"/>
        </w:rPr>
      </w:pP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I am pleased to be at </w:t>
      </w:r>
      <w:r>
        <w:rPr>
          <w:rFonts w:ascii="Book Antiqua" w:hAnsi="Book Antiqua" w:cs="Tahoma"/>
        </w:rPr>
        <w:t>the 40</w:t>
      </w:r>
      <w:r w:rsidRPr="00FA1EF0">
        <w:rPr>
          <w:rFonts w:ascii="Book Antiqua" w:hAnsi="Book Antiqua" w:cs="Tahoma"/>
          <w:vertAlign w:val="superscript"/>
        </w:rPr>
        <w:t>th</w:t>
      </w:r>
      <w:r>
        <w:rPr>
          <w:rFonts w:ascii="Book Antiqua" w:hAnsi="Book Antiqua" w:cs="Tahoma"/>
        </w:rPr>
        <w:t xml:space="preserve"> Session of the HRC</w:t>
      </w:r>
      <w:r w:rsidRPr="003A4D13">
        <w:rPr>
          <w:rFonts w:ascii="Book Antiqua" w:hAnsi="Book Antiqua" w:cs="Tahoma"/>
        </w:rPr>
        <w:t xml:space="preserve"> to share Sri Lanka</w:t>
      </w:r>
      <w:bookmarkStart w:id="1" w:name="_Hlk3926182"/>
      <w:r w:rsidRPr="003A4D13">
        <w:rPr>
          <w:rFonts w:ascii="Book Antiqua" w:hAnsi="Book Antiqua" w:cs="Tahoma"/>
        </w:rPr>
        <w:t>’s</w:t>
      </w:r>
      <w:bookmarkEnd w:id="1"/>
      <w:r w:rsidRPr="003A4D13">
        <w:rPr>
          <w:rFonts w:ascii="Book Antiqua" w:hAnsi="Book Antiqua" w:cs="Tahoma"/>
        </w:rPr>
        <w:t xml:space="preserve"> significant progress on human rights </w:t>
      </w:r>
      <w:r>
        <w:rPr>
          <w:rFonts w:ascii="Book Antiqua" w:hAnsi="Book Antiqua" w:cs="Tahoma"/>
        </w:rPr>
        <w:t>since the last review in 2017</w:t>
      </w:r>
      <w:r w:rsidRPr="003A4D13">
        <w:rPr>
          <w:rFonts w:ascii="Book Antiqua" w:hAnsi="Book Antiqua" w:cs="Tahoma"/>
        </w:rPr>
        <w:t xml:space="preserve">. </w:t>
      </w:r>
      <w:r w:rsidRPr="003A4D13">
        <w:rPr>
          <w:rFonts w:ascii="Book Antiqua" w:hAnsi="Book Antiqua"/>
        </w:rPr>
        <w:t>I am joined by my parliamentary colleague Hon. (Dr) Sarath Amunugama, the Governor of the Northern Province Hon (Dr) Suren Rag</w:t>
      </w:r>
      <w:r>
        <w:rPr>
          <w:rFonts w:ascii="Book Antiqua" w:hAnsi="Book Antiqua"/>
        </w:rPr>
        <w:t>h</w:t>
      </w:r>
      <w:r w:rsidRPr="003A4D13">
        <w:rPr>
          <w:rFonts w:ascii="Book Antiqua" w:hAnsi="Book Antiqua"/>
        </w:rPr>
        <w:t xml:space="preserve">avan, senior government officials including Foreign Secretary Ravinatha Aryasinha and Deputy Solicitor General Nerin Pulle, </w:t>
      </w:r>
      <w:r>
        <w:rPr>
          <w:rFonts w:ascii="Book Antiqua" w:hAnsi="Book Antiqua"/>
        </w:rPr>
        <w:t>and</w:t>
      </w:r>
      <w:r w:rsidRPr="003A4D13">
        <w:rPr>
          <w:rFonts w:ascii="Book Antiqua" w:hAnsi="Book Antiqua"/>
        </w:rPr>
        <w:t xml:space="preserve"> Permanent Representative Ambassador A.L.A. Azeez. </w:t>
      </w:r>
    </w:p>
    <w:p w:rsidR="008525FD" w:rsidRPr="003A4D13" w:rsidRDefault="008525FD" w:rsidP="008525FD">
      <w:pPr>
        <w:spacing w:line="276" w:lineRule="auto"/>
        <w:jc w:val="both"/>
        <w:rPr>
          <w:rFonts w:ascii="Book Antiqua" w:hAnsi="Book Antiqua" w:cs="Tahoma"/>
        </w:rPr>
      </w:pPr>
      <w:r>
        <w:rPr>
          <w:rFonts w:ascii="Book Antiqua" w:hAnsi="Book Antiqua" w:cs="Tahoma"/>
        </w:rPr>
        <w:t>Sri Lanka</w:t>
      </w:r>
      <w:r w:rsidRPr="003A4D13">
        <w:rPr>
          <w:rFonts w:ascii="Book Antiqua" w:hAnsi="Book Antiqua" w:cs="Tahoma"/>
        </w:rPr>
        <w:t xml:space="preserve">’s engagement  in these Council sessions is in keeping with our government’s vision for a country that embodies the universal values of human rights, justice, rule of law and good governance, while striving to eradicate poverty and ensure economic dividends to all – providing the people a fundamental assurance of security and a sustainable future.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Madam High Commissioner,</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At the outset we thank you for the acknowledgement throughout your report of the open, constructive and cooperative approach adopted by the Government of Sri Lanka, towards all stakeholders, both within and outside the country, and with the processes and mechanisms of this Council. Our intention has been to engage comprehensively so that our deep-rooted commitment to achieving reconciliation is made evident. Sri Lanka remains committed to achieving reconciliation and has made steady progress in pursuit of that objective. We have reported to this Council at </w:t>
      </w:r>
      <w:r>
        <w:rPr>
          <w:rFonts w:ascii="Book Antiqua" w:hAnsi="Book Antiqua" w:cs="Tahoma"/>
        </w:rPr>
        <w:t xml:space="preserve">consecutive </w:t>
      </w:r>
      <w:r w:rsidRPr="003A4D13">
        <w:rPr>
          <w:rFonts w:ascii="Book Antiqua" w:hAnsi="Book Antiqua" w:cs="Tahoma"/>
        </w:rPr>
        <w:t xml:space="preserve">sessions on the substantial progress made </w:t>
      </w:r>
      <w:r>
        <w:rPr>
          <w:rFonts w:ascii="Book Antiqua" w:hAnsi="Book Antiqua" w:cs="Tahoma"/>
        </w:rPr>
        <w:t xml:space="preserve">among others, </w:t>
      </w:r>
      <w:r w:rsidRPr="003A4D13">
        <w:rPr>
          <w:rFonts w:ascii="Book Antiqua" w:hAnsi="Book Antiqua" w:cs="Tahoma"/>
        </w:rPr>
        <w:t xml:space="preserve">with regard to civil and political rights, including advances with respect to freedom of expression and assembly, civil society consultation, establishment of a robust right to information framework, the strengthening of independent commissions, including the Human Rights Commission, among others.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You would agree that the post-conflict milieu of each country is unique. There are no two post-conflict situations where similar prescriptive remedies can be applied. We can learn from </w:t>
      </w:r>
      <w:r>
        <w:rPr>
          <w:rFonts w:ascii="Book Antiqua" w:hAnsi="Book Antiqua" w:cs="Tahoma"/>
        </w:rPr>
        <w:t xml:space="preserve">others’ </w:t>
      </w:r>
      <w:r w:rsidRPr="003A4D13">
        <w:rPr>
          <w:rFonts w:ascii="Book Antiqua" w:hAnsi="Book Antiqua" w:cs="Tahoma"/>
        </w:rPr>
        <w:t xml:space="preserve"> experiences but our own path to reconciliation will be primarily driven by the domestic context, in which we function. The basic tenet of a Transitional Justice process is the focus on its theoretical principles on State obligations. It is the State that must pursue Truth, Justice, Reparations and </w:t>
      </w:r>
      <w:r w:rsidRPr="003A4D13">
        <w:rPr>
          <w:rFonts w:ascii="Book Antiqua" w:hAnsi="Book Antiqua" w:cs="Tahoma"/>
        </w:rPr>
        <w:lastRenderedPageBreak/>
        <w:t xml:space="preserve">Guarantees of Non-Recurrence. Sri Lanka committed to such a process in 2015, and has been taking concrete action since, to move forward on these pillars.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In the area of </w:t>
      </w:r>
      <w:r w:rsidRPr="003A4D13">
        <w:rPr>
          <w:rFonts w:ascii="Book Antiqua" w:hAnsi="Book Antiqua" w:cs="Tahoma"/>
          <w:u w:val="single"/>
        </w:rPr>
        <w:t>Truth Seeking</w:t>
      </w:r>
      <w:r w:rsidRPr="003A4D13">
        <w:rPr>
          <w:rFonts w:ascii="Book Antiqua" w:hAnsi="Book Antiqua" w:cs="Tahoma"/>
        </w:rPr>
        <w:t xml:space="preserve">, an Office of Missing Persons (OMP) has been established </w:t>
      </w:r>
      <w:r>
        <w:rPr>
          <w:rFonts w:ascii="Book Antiqua" w:hAnsi="Book Antiqua" w:cs="Tahoma"/>
        </w:rPr>
        <w:t xml:space="preserve">by law </w:t>
      </w:r>
      <w:r w:rsidRPr="003A4D13">
        <w:rPr>
          <w:rFonts w:ascii="Book Antiqua" w:hAnsi="Book Antiqua" w:cs="Tahoma"/>
        </w:rPr>
        <w:t xml:space="preserve">and fully operationalised. The Cabinet of Ministers is currently considering draft legislation to establish a Truth and Reconciliation Commission. In the area of </w:t>
      </w:r>
      <w:r w:rsidRPr="003A4D13">
        <w:rPr>
          <w:rFonts w:ascii="Book Antiqua" w:hAnsi="Book Antiqua" w:cs="Tahoma"/>
          <w:u w:val="single"/>
        </w:rPr>
        <w:t>Justice</w:t>
      </w:r>
      <w:r w:rsidRPr="003A4D13">
        <w:rPr>
          <w:rFonts w:ascii="Book Antiqua" w:hAnsi="Book Antiqua" w:cs="Tahoma"/>
        </w:rPr>
        <w:t xml:space="preserve"> </w:t>
      </w:r>
      <w:r>
        <w:rPr>
          <w:rFonts w:ascii="Book Antiqua" w:hAnsi="Book Antiqua" w:cs="Tahoma"/>
        </w:rPr>
        <w:t>review of cases under the PTA have taken place and trials under the PTA have been expedited, while consultations are ongoing in Parliament t</w:t>
      </w:r>
      <w:r w:rsidRPr="002C2243">
        <w:rPr>
          <w:rFonts w:ascii="Book Antiqua" w:hAnsi="Book Antiqua" w:cs="Tahoma"/>
        </w:rPr>
        <w:t xml:space="preserve">o replace the PTA with </w:t>
      </w:r>
      <w:r>
        <w:rPr>
          <w:rFonts w:ascii="Book Antiqua" w:hAnsi="Book Antiqua" w:cs="Tahoma"/>
        </w:rPr>
        <w:t xml:space="preserve">proposed legislation for </w:t>
      </w:r>
      <w:r w:rsidRPr="002C2243">
        <w:rPr>
          <w:rFonts w:ascii="Book Antiqua" w:hAnsi="Book Antiqua" w:cs="Tahoma"/>
        </w:rPr>
        <w:t xml:space="preserve">Counter Terrorism </w:t>
      </w:r>
      <w:r>
        <w:rPr>
          <w:rFonts w:ascii="Book Antiqua" w:hAnsi="Book Antiqua" w:cs="Tahoma"/>
        </w:rPr>
        <w:t xml:space="preserve">(CTA) ensuring its </w:t>
      </w:r>
      <w:r w:rsidRPr="002C2243">
        <w:rPr>
          <w:rFonts w:ascii="Book Antiqua" w:hAnsi="Book Antiqua" w:cs="Tahoma"/>
        </w:rPr>
        <w:t>conform</w:t>
      </w:r>
      <w:r>
        <w:rPr>
          <w:rFonts w:ascii="Book Antiqua" w:hAnsi="Book Antiqua" w:cs="Tahoma"/>
        </w:rPr>
        <w:t>ity</w:t>
      </w:r>
      <w:r w:rsidRPr="002C2243">
        <w:rPr>
          <w:rFonts w:ascii="Book Antiqua" w:hAnsi="Book Antiqua" w:cs="Tahoma"/>
        </w:rPr>
        <w:t xml:space="preserve"> to international standards and best practices. </w:t>
      </w:r>
      <w:r w:rsidRPr="003A4D13">
        <w:rPr>
          <w:rFonts w:ascii="Book Antiqua" w:hAnsi="Book Antiqua" w:cs="Tahoma"/>
        </w:rPr>
        <w:t xml:space="preserve">As for </w:t>
      </w:r>
      <w:r w:rsidRPr="003A4D13">
        <w:rPr>
          <w:rFonts w:ascii="Book Antiqua" w:hAnsi="Book Antiqua" w:cs="Tahoma"/>
          <w:u w:val="single"/>
        </w:rPr>
        <w:t>Reparations</w:t>
      </w:r>
      <w:r w:rsidRPr="003A4D13">
        <w:rPr>
          <w:rFonts w:ascii="Book Antiqua" w:hAnsi="Book Antiqua" w:cs="Tahoma"/>
        </w:rPr>
        <w:t xml:space="preserve">, the </w:t>
      </w:r>
      <w:r>
        <w:rPr>
          <w:rFonts w:ascii="Book Antiqua" w:hAnsi="Book Antiqua" w:cs="Tahoma"/>
        </w:rPr>
        <w:t xml:space="preserve">Office for </w:t>
      </w:r>
      <w:r w:rsidRPr="003A4D13">
        <w:rPr>
          <w:rFonts w:ascii="Book Antiqua" w:hAnsi="Book Antiqua" w:cs="Tahoma"/>
        </w:rPr>
        <w:t xml:space="preserve">Reparations Act passed by Parliament </w:t>
      </w:r>
      <w:r>
        <w:rPr>
          <w:rFonts w:ascii="Book Antiqua" w:hAnsi="Book Antiqua" w:cs="Tahoma"/>
        </w:rPr>
        <w:t xml:space="preserve">in October 2018 </w:t>
      </w:r>
      <w:r w:rsidRPr="003A4D13">
        <w:rPr>
          <w:rFonts w:ascii="Book Antiqua" w:hAnsi="Book Antiqua" w:cs="Tahoma"/>
        </w:rPr>
        <w:t>has provided for the establishment of an Office of Reparations in terms of the said law</w:t>
      </w:r>
      <w:r>
        <w:rPr>
          <w:rFonts w:ascii="Book Antiqua" w:hAnsi="Book Antiqua" w:cs="Tahoma"/>
        </w:rPr>
        <w:t xml:space="preserve"> and three Commissioners have been recommended for appointment by the Constitutional Council</w:t>
      </w:r>
      <w:r w:rsidRPr="003A4D13">
        <w:rPr>
          <w:rFonts w:ascii="Book Antiqua" w:hAnsi="Book Antiqua" w:cs="Tahoma"/>
        </w:rPr>
        <w:t xml:space="preserve">. These institutions are empowered to look into, ascertain, acknowledge and address complaints made to the same. It must be noted that statutory duties performed by such bodies have to accord with a process of fairness and rules of natural justice, in achieving the objectives in respect to which such bodies are established. To ensure </w:t>
      </w:r>
      <w:r w:rsidRPr="003A4D13">
        <w:rPr>
          <w:rFonts w:ascii="Book Antiqua" w:hAnsi="Book Antiqua" w:cs="Tahoma"/>
          <w:u w:val="single"/>
        </w:rPr>
        <w:t>Non-recurrence</w:t>
      </w:r>
      <w:r w:rsidRPr="003A4D13">
        <w:rPr>
          <w:rFonts w:ascii="Book Antiqua" w:hAnsi="Book Antiqua" w:cs="Tahoma"/>
        </w:rPr>
        <w:t xml:space="preserve"> of conflict, we are firmly resolved to fulfilling the agenda on reconciliation.</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All these mechanisms and processes have been put in place within a short span. During this period, the Secretariat for Coordinating the Reconciliation Process and the Task Force also undertook a wide-ranging consultation process prior to operationalizing measures.  You would agree Madam High Commissioner that such a consultative approach was essential in order to ensure transparency and ownership of these mechanisms by the people of Sri Lanka. </w:t>
      </w:r>
    </w:p>
    <w:p w:rsidR="008525FD" w:rsidRDefault="008525FD" w:rsidP="008525FD">
      <w:pPr>
        <w:spacing w:line="276" w:lineRule="auto"/>
        <w:jc w:val="both"/>
        <w:rPr>
          <w:rFonts w:ascii="Book Antiqua" w:hAnsi="Book Antiqua" w:cs="Tahoma"/>
        </w:rPr>
      </w:pPr>
      <w:r w:rsidRPr="00C012D9">
        <w:rPr>
          <w:rFonts w:ascii="Book Antiqua" w:hAnsi="Book Antiqua" w:cs="Tahoma"/>
        </w:rPr>
        <w:t xml:space="preserve">While noting the contents in paragraphs 10-13 of the OHCHR report Madam High Commissioner, on the political developments of late 2018, it is also recalled that </w:t>
      </w:r>
      <w:r>
        <w:rPr>
          <w:rFonts w:ascii="Book Antiqua" w:hAnsi="Book Antiqua" w:cs="Tahoma"/>
        </w:rPr>
        <w:t xml:space="preserve">during the period in question, </w:t>
      </w:r>
      <w:r w:rsidRPr="00C012D9">
        <w:rPr>
          <w:rFonts w:ascii="Book Antiqua" w:hAnsi="Book Antiqua" w:cs="Tahoma"/>
        </w:rPr>
        <w:t>the Supreme Court embarked upon resolving the constitutional issues that had arisen, in an expeditious manner, giving credence to the independence of Sri Lanka’s judiciary. Furthermore, law and order was maintained by the security forces and the police, and the public service conducted itself in an exemplary manner. This clearly demonstrated Sri Lanka’s strong democratic credentials and institutional stability.</w:t>
      </w:r>
      <w:r w:rsidRPr="003A4D13">
        <w:rPr>
          <w:rFonts w:ascii="Book Antiqua" w:hAnsi="Book Antiqua" w:cs="Tahoma"/>
        </w:rPr>
        <w:t xml:space="preserve">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In the context of paragraph 15, the institutions already established to take the transitional justice measures forward would require that they adhere to the rule of law, and the results of the work carried out by such institutions should be able to withstand the test of any potential judicial process. Thus, while appreciating the acknowledgment in the report that steps have been taken for institution building, it may be recalled that the benefits arising from the functions of such institutions that accrue to individual rights holders should accord with the principles of natural justice as decisions made in haste compromise on principles of natural justice.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With regard to paragraph 17, contrary to the view that the Government of Sri Lanka has lagged in the actual implementation of the commitments beyond the establishment of coordinating bodies, it must be noted that the OMP has been fully operationalized and the </w:t>
      </w:r>
      <w:r>
        <w:rPr>
          <w:rFonts w:ascii="Book Antiqua" w:hAnsi="Book Antiqua" w:cs="Tahoma"/>
        </w:rPr>
        <w:t xml:space="preserve">Office for </w:t>
      </w:r>
      <w:r w:rsidRPr="003A4D13">
        <w:rPr>
          <w:rFonts w:ascii="Book Antiqua" w:hAnsi="Book Antiqua" w:cs="Tahoma"/>
        </w:rPr>
        <w:t xml:space="preserve">Reparations Act passed by Parliament has provided for the establishment of an Office </w:t>
      </w:r>
      <w:r>
        <w:rPr>
          <w:rFonts w:ascii="Book Antiqua" w:hAnsi="Book Antiqua" w:cs="Tahoma"/>
        </w:rPr>
        <w:t>for</w:t>
      </w:r>
      <w:r w:rsidRPr="003A4D13">
        <w:rPr>
          <w:rFonts w:ascii="Book Antiqua" w:hAnsi="Book Antiqua" w:cs="Tahoma"/>
        </w:rPr>
        <w:t xml:space="preserve"> Reparations in terms of the said law. These institutions are empowered to examine, ascertain, acknowledge and address complaints made to the same, and perform its statutory duties in accordance with a process of fairness and rules of natural justice. </w:t>
      </w:r>
      <w:r>
        <w:rPr>
          <w:rFonts w:ascii="Book Antiqua" w:hAnsi="Book Antiqua" w:cs="Tahoma"/>
        </w:rPr>
        <w:t>Funding for the Office for  Reparations has been allocated in the 2019 National Budget.</w:t>
      </w:r>
      <w:r w:rsidRPr="003A4D13">
        <w:rPr>
          <w:rFonts w:ascii="Book Antiqua" w:hAnsi="Book Antiqua" w:cs="Tahoma"/>
        </w:rPr>
        <w:t xml:space="preserve">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In the context of paragraph 19, it may be noted that under the Reparations Act which was passed into law in October 2018, </w:t>
      </w:r>
      <w:r w:rsidRPr="00FA1EF0">
        <w:rPr>
          <w:rFonts w:ascii="Book Antiqua" w:hAnsi="Book Antiqua" w:cs="Tahoma"/>
        </w:rPr>
        <w:t>three Commissioners have been recommended for appointment by the Constitutional Council and in the 2019 Budget</w:t>
      </w:r>
      <w:r>
        <w:rPr>
          <w:rFonts w:ascii="Book Antiqua" w:hAnsi="Book Antiqua" w:cs="Tahoma"/>
        </w:rPr>
        <w:t>,</w:t>
      </w:r>
      <w:r w:rsidRPr="003A4D13">
        <w:rPr>
          <w:rFonts w:ascii="Book Antiqua" w:hAnsi="Book Antiqua" w:cs="Tahoma"/>
        </w:rPr>
        <w:t xml:space="preserve"> the Government has allocated Rs. 500 million to pay a monthly allowance for families of disappeared persons who have received the certificate of absence.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With reference to paragraph 23 of the Report with regard to the discovery of human skeletal remains in Mannar on 29</w:t>
      </w:r>
      <w:r w:rsidRPr="003A4D13">
        <w:rPr>
          <w:rFonts w:ascii="Book Antiqua" w:hAnsi="Book Antiqua" w:cs="Tahoma"/>
          <w:vertAlign w:val="superscript"/>
        </w:rPr>
        <w:t>th</w:t>
      </w:r>
      <w:r w:rsidRPr="003A4D13">
        <w:rPr>
          <w:rFonts w:ascii="Book Antiqua" w:hAnsi="Book Antiqua" w:cs="Tahoma"/>
        </w:rPr>
        <w:t xml:space="preserve"> May 2018, this matter is a case in point for the need </w:t>
      </w:r>
      <w:r>
        <w:rPr>
          <w:rFonts w:ascii="Book Antiqua" w:hAnsi="Book Antiqua" w:cs="Tahoma"/>
        </w:rPr>
        <w:t xml:space="preserve">to exercise </w:t>
      </w:r>
      <w:r w:rsidRPr="003A4D13">
        <w:rPr>
          <w:rFonts w:ascii="Book Antiqua" w:hAnsi="Book Antiqua" w:cs="Tahoma"/>
        </w:rPr>
        <w:t xml:space="preserve">caution in approaching issues of this nature. Contrary to pre-conceived notions, it was scientifically established that the </w:t>
      </w:r>
      <w:r>
        <w:rPr>
          <w:rFonts w:ascii="Book Antiqua" w:hAnsi="Book Antiqua" w:cs="Tahoma"/>
        </w:rPr>
        <w:t xml:space="preserve">recovered </w:t>
      </w:r>
      <w:r w:rsidRPr="003A4D13">
        <w:rPr>
          <w:rFonts w:ascii="Book Antiqua" w:hAnsi="Book Antiqua" w:cs="Tahoma"/>
        </w:rPr>
        <w:t xml:space="preserve">skeletal remains had no nexus to the conflict. Having been facilitated through the Office of Missing Persons (OMP), the test results obtained from a USA laboratory have revealed that the said skeletal remains date back to 1499-1719 AD - a period when Sri Lanka was largely under European colonial rule. This is yet another instance that demonstrates that allegations and </w:t>
      </w:r>
      <w:r>
        <w:rPr>
          <w:rFonts w:ascii="Book Antiqua" w:hAnsi="Book Antiqua" w:cs="Tahoma"/>
        </w:rPr>
        <w:t xml:space="preserve">mere </w:t>
      </w:r>
      <w:r w:rsidRPr="003A4D13">
        <w:rPr>
          <w:rFonts w:ascii="Book Antiqua" w:hAnsi="Book Antiqua" w:cs="Tahoma"/>
        </w:rPr>
        <w:t>collection of data should not be pre-judged to cast unjustified aspersions. It also amply demonstrates the need for allegations to always be subject to the due process of investigation in accordance with established legal procedures and not be hastily credited to support unfounded assumptions.</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With reference to paragraph 25 of the Report, the amendments suggested by the Supreme Court to the content of the Bill on the “Office</w:t>
      </w:r>
      <w:r>
        <w:rPr>
          <w:rFonts w:ascii="Book Antiqua" w:hAnsi="Book Antiqua" w:cs="Tahoma"/>
        </w:rPr>
        <w:t xml:space="preserve"> for</w:t>
      </w:r>
      <w:r w:rsidRPr="003A4D13">
        <w:rPr>
          <w:rFonts w:ascii="Book Antiqua" w:hAnsi="Book Antiqua" w:cs="Tahoma"/>
        </w:rPr>
        <w:t xml:space="preserve"> Reparations” complies with the basic structure of our Constitution that recognizes a functional separation of powers pertaining to organs of government. The incorporation of amendments suggested by the Supreme Court, considered by the Parliament to make amendments to the Reparation Law, is a mandatory process that ensures the constitutionality of the said law.  Furthermore, contrary to your observation , it may be noted that the proposed amendments suggested by the Supreme Court broadens its applicability to  persons who could seek redress before the Office </w:t>
      </w:r>
      <w:r>
        <w:rPr>
          <w:rFonts w:ascii="Book Antiqua" w:hAnsi="Book Antiqua" w:cs="Tahoma"/>
        </w:rPr>
        <w:t>for</w:t>
      </w:r>
      <w:r w:rsidRPr="003A4D13">
        <w:rPr>
          <w:rFonts w:ascii="Book Antiqua" w:hAnsi="Book Antiqua" w:cs="Tahoma"/>
        </w:rPr>
        <w:t xml:space="preserve"> Reparations, since complaints that can be received and considered, both individually and collectively by the Office, would no longer be limited to alleged violations of human rights or International Humanitarian Law, but would inter alia in terms of the definition provided in section 27</w:t>
      </w:r>
      <w:r>
        <w:rPr>
          <w:rFonts w:ascii="Book Antiqua" w:hAnsi="Book Antiqua" w:cs="Tahoma"/>
        </w:rPr>
        <w:t xml:space="preserve"> of the Act</w:t>
      </w:r>
      <w:r w:rsidRPr="003A4D13">
        <w:rPr>
          <w:rFonts w:ascii="Book Antiqua" w:hAnsi="Book Antiqua" w:cs="Tahoma"/>
        </w:rPr>
        <w:t xml:space="preserve">, </w:t>
      </w:r>
      <w:r>
        <w:rPr>
          <w:rFonts w:ascii="Book Antiqua" w:hAnsi="Book Antiqua" w:cs="Tahoma"/>
        </w:rPr>
        <w:t xml:space="preserve">include </w:t>
      </w:r>
      <w:r w:rsidRPr="003A4D13">
        <w:rPr>
          <w:rFonts w:ascii="Book Antiqua" w:hAnsi="Book Antiqua" w:cs="Tahoma"/>
        </w:rPr>
        <w:t xml:space="preserve">– persons who have suffered damage as a result of loss of life or damage to their person or property – such damage being in the nature of prolonged and grave damage suffered by individuals groups or communities of people of Sri Lanka. </w:t>
      </w:r>
    </w:p>
    <w:p w:rsidR="008525FD" w:rsidRDefault="008525FD" w:rsidP="008525FD">
      <w:pPr>
        <w:spacing w:line="276" w:lineRule="auto"/>
        <w:jc w:val="both"/>
        <w:rPr>
          <w:rFonts w:ascii="Book Antiqua" w:hAnsi="Book Antiqua"/>
        </w:rPr>
      </w:pPr>
      <w:r>
        <w:rPr>
          <w:rFonts w:ascii="Book Antiqua" w:hAnsi="Book Antiqua"/>
        </w:rPr>
        <w:t>Madam High Commissioner,</w:t>
      </w:r>
    </w:p>
    <w:p w:rsidR="008525FD" w:rsidRPr="003A4D13" w:rsidRDefault="008525FD" w:rsidP="008525FD">
      <w:pPr>
        <w:spacing w:line="276" w:lineRule="auto"/>
        <w:jc w:val="both"/>
        <w:rPr>
          <w:rFonts w:ascii="Book Antiqua" w:hAnsi="Book Antiqua"/>
        </w:rPr>
      </w:pPr>
      <w:r>
        <w:rPr>
          <w:rFonts w:ascii="Book Antiqua" w:hAnsi="Book Antiqua"/>
        </w:rPr>
        <w:t>At a time the world is confronted with increasing acts of terrorism and violent extremism, a</w:t>
      </w:r>
      <w:r w:rsidRPr="003A4D13">
        <w:rPr>
          <w:rFonts w:ascii="Book Antiqua" w:hAnsi="Book Antiqua"/>
        </w:rPr>
        <w:t xml:space="preserve">s I stated before this </w:t>
      </w:r>
      <w:r>
        <w:rPr>
          <w:rFonts w:ascii="Book Antiqua" w:hAnsi="Book Antiqua"/>
        </w:rPr>
        <w:t xml:space="preserve">Council </w:t>
      </w:r>
      <w:r w:rsidRPr="003A4D13">
        <w:rPr>
          <w:rFonts w:ascii="Book Antiqua" w:hAnsi="Book Antiqua"/>
        </w:rPr>
        <w:t xml:space="preserve">last year, the action by the Sri Lankan security forces during the conflict was against a group designated as a terrorist </w:t>
      </w:r>
      <w:r>
        <w:rPr>
          <w:rFonts w:ascii="Book Antiqua" w:hAnsi="Book Antiqua"/>
        </w:rPr>
        <w:t xml:space="preserve">organization </w:t>
      </w:r>
      <w:r w:rsidRPr="003A4D13">
        <w:rPr>
          <w:rFonts w:ascii="Book Antiqua" w:hAnsi="Book Antiqua"/>
        </w:rPr>
        <w:t>by many countries, and not against any community. The  modus operandi of th</w:t>
      </w:r>
      <w:r>
        <w:rPr>
          <w:rFonts w:ascii="Book Antiqua" w:hAnsi="Book Antiqua"/>
        </w:rPr>
        <w:t>is</w:t>
      </w:r>
      <w:r w:rsidRPr="003A4D13">
        <w:rPr>
          <w:rFonts w:ascii="Book Antiqua" w:hAnsi="Book Antiqua"/>
        </w:rPr>
        <w:t xml:space="preserve"> terrorist group, which for the first time in recent history deliberately targeted civilians, have now been adopted by terrorist groups all over the world. All communities in Sri Lanka were united against terrorism, and now that terrorism has been defeated, all communities are working in unison towards reconciliation and economic progress.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Hence, in the context of paragraph 27 and 29, with reference to criminal accountability, it must be re-stated that Sri Lanka guarantees to all its citizens their rights in accordance with the constitutional and judicial process of Sri Lanka. However, the reference in the said paragraph to the abundant evidence that the </w:t>
      </w:r>
      <w:r>
        <w:rPr>
          <w:rFonts w:ascii="Book Antiqua" w:hAnsi="Book Antiqua" w:cs="Tahoma"/>
        </w:rPr>
        <w:t xml:space="preserve">ordinary </w:t>
      </w:r>
      <w:r w:rsidRPr="003A4D13">
        <w:rPr>
          <w:rFonts w:ascii="Book Antiqua" w:hAnsi="Book Antiqua" w:cs="Tahoma"/>
        </w:rPr>
        <w:t xml:space="preserve">criminal justice system is unable to deal with the nature of the allegations, </w:t>
      </w:r>
      <w:r>
        <w:rPr>
          <w:rFonts w:ascii="Book Antiqua" w:hAnsi="Book Antiqua" w:cs="Tahoma"/>
        </w:rPr>
        <w:t xml:space="preserve">and the complexity of the crimes </w:t>
      </w:r>
      <w:r w:rsidRPr="003A4D13">
        <w:rPr>
          <w:rFonts w:ascii="Book Antiqua" w:hAnsi="Book Antiqua" w:cs="Tahoma"/>
        </w:rPr>
        <w:t xml:space="preserve">is misconceived. On the contrary, the judicial system in Sri Lanka is adequately equipped to deal with complex crimes.. Criminal investigations </w:t>
      </w:r>
      <w:r>
        <w:rPr>
          <w:rFonts w:ascii="Book Antiqua" w:hAnsi="Book Antiqua" w:cs="Tahoma"/>
        </w:rPr>
        <w:t xml:space="preserve">pertaining </w:t>
      </w:r>
      <w:r w:rsidRPr="003A4D13">
        <w:rPr>
          <w:rFonts w:ascii="Book Antiqua" w:hAnsi="Book Antiqua" w:cs="Tahoma"/>
        </w:rPr>
        <w:t xml:space="preserve">to </w:t>
      </w:r>
      <w:r>
        <w:rPr>
          <w:rFonts w:ascii="Book Antiqua" w:hAnsi="Book Antiqua" w:cs="Tahoma"/>
        </w:rPr>
        <w:t xml:space="preserve">cases </w:t>
      </w:r>
      <w:r w:rsidRPr="003A4D13">
        <w:rPr>
          <w:rFonts w:ascii="Book Antiqua" w:hAnsi="Book Antiqua" w:cs="Tahoma"/>
        </w:rPr>
        <w:t xml:space="preserve">referred have been </w:t>
      </w:r>
      <w:r>
        <w:rPr>
          <w:rFonts w:ascii="Book Antiqua" w:hAnsi="Book Antiqua" w:cs="Tahoma"/>
        </w:rPr>
        <w:t xml:space="preserve">taken congnizance of </w:t>
      </w:r>
      <w:r w:rsidRPr="003A4D13">
        <w:rPr>
          <w:rFonts w:ascii="Book Antiqua" w:hAnsi="Book Antiqua" w:cs="Tahoma"/>
        </w:rPr>
        <w:t xml:space="preserve"> </w:t>
      </w:r>
      <w:r>
        <w:rPr>
          <w:rFonts w:ascii="Book Antiqua" w:hAnsi="Book Antiqua" w:cs="Tahoma"/>
        </w:rPr>
        <w:t xml:space="preserve"> by</w:t>
      </w:r>
      <w:r w:rsidRPr="003A4D13">
        <w:rPr>
          <w:rFonts w:ascii="Book Antiqua" w:hAnsi="Book Antiqua" w:cs="Tahoma"/>
        </w:rPr>
        <w:t xml:space="preserve"> the investigating agencies to be conducted under established legal procedures and </w:t>
      </w:r>
      <w:r>
        <w:rPr>
          <w:rFonts w:ascii="Book Antiqua" w:hAnsi="Book Antiqua" w:cs="Tahoma"/>
        </w:rPr>
        <w:t xml:space="preserve">are </w:t>
      </w:r>
      <w:r w:rsidRPr="003A4D13">
        <w:rPr>
          <w:rFonts w:ascii="Book Antiqua" w:hAnsi="Book Antiqua" w:cs="Tahoma"/>
        </w:rPr>
        <w:t xml:space="preserve">periodically </w:t>
      </w:r>
      <w:r>
        <w:rPr>
          <w:rFonts w:ascii="Book Antiqua" w:hAnsi="Book Antiqua" w:cs="Tahoma"/>
        </w:rPr>
        <w:t xml:space="preserve">being </w:t>
      </w:r>
      <w:r w:rsidRPr="003A4D13">
        <w:rPr>
          <w:rFonts w:ascii="Book Antiqua" w:hAnsi="Book Antiqua" w:cs="Tahoma"/>
        </w:rPr>
        <w:t xml:space="preserve">monitored in terms of the judicial process. Any complex criminal investigation is time consuming. The acknowledgement in paragraph 20 of the report that ‘victim tracing procedures’ require thorough assessments in multiple areas and takes time, is an indicator that establishes the </w:t>
      </w:r>
      <w:r>
        <w:rPr>
          <w:rFonts w:ascii="Book Antiqua" w:hAnsi="Book Antiqua" w:cs="Tahoma"/>
        </w:rPr>
        <w:t xml:space="preserve">said </w:t>
      </w:r>
      <w:r w:rsidRPr="003A4D13">
        <w:rPr>
          <w:rFonts w:ascii="Book Antiqua" w:hAnsi="Book Antiqua" w:cs="Tahoma"/>
        </w:rPr>
        <w:t xml:space="preserve">assertion. It also negates </w:t>
      </w:r>
      <w:r>
        <w:rPr>
          <w:rFonts w:ascii="Book Antiqua" w:hAnsi="Book Antiqua" w:cs="Tahoma"/>
        </w:rPr>
        <w:t>the</w:t>
      </w:r>
      <w:r w:rsidRPr="003A4D13">
        <w:rPr>
          <w:rFonts w:ascii="Book Antiqua" w:hAnsi="Book Antiqua" w:cs="Tahoma"/>
        </w:rPr>
        <w:t xml:space="preserve"> alleged inability of the Sri Lankan criminal justice system to deal with the nature of allegations and complexity of crimes. </w:t>
      </w:r>
    </w:p>
    <w:p w:rsidR="008525FD" w:rsidRPr="003A4D13" w:rsidRDefault="008525FD" w:rsidP="008525FD">
      <w:pPr>
        <w:spacing w:line="276" w:lineRule="auto"/>
        <w:jc w:val="both"/>
        <w:rPr>
          <w:rFonts w:ascii="Book Antiqua" w:hAnsi="Book Antiqua" w:cs="Tahoma"/>
          <w:b/>
          <w:bCs/>
        </w:rPr>
      </w:pPr>
      <w:r w:rsidRPr="003A4D13">
        <w:rPr>
          <w:rFonts w:ascii="Book Antiqua" w:hAnsi="Book Antiqua" w:cs="Tahoma"/>
        </w:rPr>
        <w:t xml:space="preserve">Further, it must be asserted that there are no </w:t>
      </w:r>
      <w:r>
        <w:rPr>
          <w:rFonts w:ascii="Book Antiqua" w:hAnsi="Book Antiqua" w:cs="Tahoma"/>
        </w:rPr>
        <w:t xml:space="preserve">proven </w:t>
      </w:r>
      <w:r w:rsidRPr="003A4D13">
        <w:rPr>
          <w:rFonts w:ascii="Book Antiqua" w:hAnsi="Book Antiqua" w:cs="Tahoma"/>
        </w:rPr>
        <w:t xml:space="preserve">allegations against individuals on war crimes or crimes against humanity in the OISL report of 2015 or in any subsequent official document. </w:t>
      </w:r>
      <w:r>
        <w:rPr>
          <w:rFonts w:ascii="Book Antiqua" w:hAnsi="Book Antiqua" w:cs="Tahoma"/>
        </w:rPr>
        <w:t>I</w:t>
      </w:r>
      <w:r w:rsidRPr="003A4D13">
        <w:rPr>
          <w:rFonts w:ascii="Book Antiqua" w:hAnsi="Book Antiqua" w:cs="Tahoma"/>
        </w:rPr>
        <w:t xml:space="preserve">t is an injustice to deprive </w:t>
      </w:r>
      <w:r>
        <w:rPr>
          <w:rFonts w:ascii="Book Antiqua" w:hAnsi="Book Antiqua" w:cs="Tahoma"/>
        </w:rPr>
        <w:t xml:space="preserve">any serving or retired officer </w:t>
      </w:r>
      <w:r w:rsidRPr="003A4D13">
        <w:rPr>
          <w:rFonts w:ascii="Book Antiqua" w:hAnsi="Book Antiqua" w:cs="Tahoma"/>
        </w:rPr>
        <w:t xml:space="preserve">of the Sri Lankan security forces </w:t>
      </w:r>
      <w:r>
        <w:rPr>
          <w:rFonts w:ascii="Book Antiqua" w:hAnsi="Book Antiqua" w:cs="Tahoma"/>
        </w:rPr>
        <w:t xml:space="preserve">or the </w:t>
      </w:r>
      <w:r w:rsidRPr="003A4D13">
        <w:rPr>
          <w:rFonts w:ascii="Book Antiqua" w:hAnsi="Book Antiqua" w:cs="Tahoma"/>
        </w:rPr>
        <w:t>police their due rights</w:t>
      </w:r>
      <w:r>
        <w:rPr>
          <w:rFonts w:ascii="Book Antiqua" w:hAnsi="Book Antiqua" w:cs="Tahoma"/>
        </w:rPr>
        <w:t xml:space="preserve">. </w:t>
      </w:r>
      <w:r w:rsidRPr="003A4D13">
        <w:rPr>
          <w:rFonts w:ascii="Book Antiqua" w:hAnsi="Book Antiqua" w:cs="Tahoma"/>
        </w:rPr>
        <w:t xml:space="preserve"> </w:t>
      </w:r>
    </w:p>
    <w:p w:rsidR="008525FD" w:rsidRPr="003A4D13" w:rsidRDefault="008525FD" w:rsidP="008525FD">
      <w:pPr>
        <w:shd w:val="clear" w:color="auto" w:fill="FFFFFF"/>
        <w:spacing w:line="276" w:lineRule="auto"/>
        <w:jc w:val="both"/>
        <w:rPr>
          <w:rFonts w:ascii="Book Antiqua" w:hAnsi="Book Antiqua"/>
          <w:color w:val="222222"/>
          <w:shd w:val="clear" w:color="auto" w:fill="FFFFFF"/>
        </w:rPr>
      </w:pPr>
      <w:r>
        <w:rPr>
          <w:rFonts w:ascii="Book Antiqua" w:hAnsi="Book Antiqua"/>
          <w:color w:val="222222"/>
          <w:shd w:val="clear" w:color="auto" w:fill="FFFFFF"/>
        </w:rPr>
        <w:t xml:space="preserve">There has been </w:t>
      </w:r>
      <w:r w:rsidRPr="003A4D13">
        <w:rPr>
          <w:rFonts w:ascii="Book Antiqua" w:hAnsi="Book Antiqua"/>
          <w:color w:val="222222"/>
          <w:shd w:val="clear" w:color="auto" w:fill="FFFFFF"/>
        </w:rPr>
        <w:t xml:space="preserve">persistent </w:t>
      </w:r>
      <w:r>
        <w:rPr>
          <w:rFonts w:ascii="Book Antiqua" w:hAnsi="Book Antiqua"/>
          <w:color w:val="222222"/>
          <w:shd w:val="clear" w:color="auto" w:fill="FFFFFF"/>
        </w:rPr>
        <w:t xml:space="preserve">and repeated reference in official documents of the OHCHR and this Council to </w:t>
      </w:r>
      <w:r w:rsidRPr="003A4D13">
        <w:rPr>
          <w:rFonts w:ascii="Book Antiqua" w:hAnsi="Book Antiqua"/>
          <w:color w:val="222222"/>
          <w:shd w:val="clear" w:color="auto" w:fill="FFFFFF"/>
        </w:rPr>
        <w:t xml:space="preserve">exaggerated numbers as the alleged death toll during the last stages of the conflict. These assertions remain in direct contradiction to independent assessments sent by foreign missions, UN agencies as well as other international organizations, including the ICRC – </w:t>
      </w:r>
      <w:r>
        <w:rPr>
          <w:rFonts w:ascii="Book Antiqua" w:hAnsi="Book Antiqua"/>
          <w:color w:val="222222"/>
          <w:shd w:val="clear" w:color="auto" w:fill="FFFFFF"/>
        </w:rPr>
        <w:t xml:space="preserve">and  </w:t>
      </w:r>
      <w:r w:rsidRPr="003A4D13">
        <w:rPr>
          <w:rFonts w:ascii="Book Antiqua" w:hAnsi="Book Antiqua"/>
          <w:color w:val="222222"/>
          <w:shd w:val="clear" w:color="auto" w:fill="FFFFFF"/>
        </w:rPr>
        <w:t>some heavily redacted accounts of which have been presented not only in the House of Lords in the UK on 12 October 2017</w:t>
      </w:r>
      <w:r>
        <w:rPr>
          <w:rFonts w:ascii="Book Antiqua" w:hAnsi="Book Antiqua"/>
          <w:color w:val="222222"/>
          <w:shd w:val="clear" w:color="auto" w:fill="FFFFFF"/>
        </w:rPr>
        <w:t>,</w:t>
      </w:r>
      <w:r w:rsidRPr="003A4D13">
        <w:rPr>
          <w:rFonts w:ascii="Book Antiqua" w:hAnsi="Book Antiqua"/>
          <w:color w:val="222222"/>
          <w:shd w:val="clear" w:color="auto" w:fill="FFFFFF"/>
        </w:rPr>
        <w:t xml:space="preserve"> citing dispatches by the UK Defence Attaché in Colombo during the last stages of the conflict, but also in writings by academics and journalists which is found in the public domain</w:t>
      </w:r>
      <w:r w:rsidRPr="003A4D13">
        <w:rPr>
          <w:rStyle w:val="FootnoteReference"/>
          <w:rFonts w:ascii="Book Antiqua" w:hAnsi="Book Antiqua"/>
          <w:color w:val="222222"/>
          <w:shd w:val="clear" w:color="auto" w:fill="FFFFFF"/>
        </w:rPr>
        <w:footnoteReference w:id="1"/>
      </w:r>
      <w:r w:rsidRPr="003A4D13">
        <w:rPr>
          <w:rFonts w:ascii="Book Antiqua" w:hAnsi="Book Antiqua"/>
          <w:color w:val="222222"/>
          <w:shd w:val="clear" w:color="auto" w:fill="FFFFFF"/>
        </w:rPr>
        <w:t>.</w:t>
      </w:r>
    </w:p>
    <w:p w:rsidR="008525FD" w:rsidRDefault="008525FD" w:rsidP="008525FD">
      <w:pPr>
        <w:shd w:val="clear" w:color="auto" w:fill="FFFFFF"/>
        <w:spacing w:line="276" w:lineRule="auto"/>
        <w:jc w:val="both"/>
        <w:rPr>
          <w:rFonts w:ascii="Book Antiqua" w:hAnsi="Book Antiqua"/>
          <w:color w:val="222222"/>
          <w:shd w:val="clear" w:color="auto" w:fill="FFFFFF"/>
        </w:rPr>
      </w:pPr>
      <w:r w:rsidRPr="003A4D13">
        <w:rPr>
          <w:rFonts w:ascii="Book Antiqua" w:hAnsi="Book Antiqua"/>
          <w:color w:val="222222"/>
          <w:shd w:val="clear" w:color="auto" w:fill="FFFFFF"/>
        </w:rPr>
        <w:t xml:space="preserve">The Government of Sri Lanka believes that it is indeed </w:t>
      </w:r>
      <w:r>
        <w:rPr>
          <w:rFonts w:ascii="Book Antiqua" w:hAnsi="Book Antiqua"/>
          <w:color w:val="222222"/>
          <w:shd w:val="clear" w:color="auto" w:fill="FFFFFF"/>
        </w:rPr>
        <w:t>erroneous</w:t>
      </w:r>
      <w:r w:rsidRPr="003A4D13">
        <w:rPr>
          <w:rFonts w:ascii="Book Antiqua" w:hAnsi="Book Antiqua"/>
          <w:color w:val="222222"/>
          <w:shd w:val="clear" w:color="auto" w:fill="FFFFFF"/>
        </w:rPr>
        <w:t xml:space="preserve"> that more attention has not been paid to </w:t>
      </w:r>
      <w:r>
        <w:rPr>
          <w:rFonts w:ascii="Book Antiqua" w:hAnsi="Book Antiqua"/>
          <w:color w:val="222222"/>
          <w:shd w:val="clear" w:color="auto" w:fill="FFFFFF"/>
        </w:rPr>
        <w:t xml:space="preserve">the above mentioned </w:t>
      </w:r>
      <w:r w:rsidRPr="003A4D13">
        <w:rPr>
          <w:rFonts w:ascii="Book Antiqua" w:hAnsi="Book Antiqua"/>
          <w:color w:val="222222"/>
          <w:shd w:val="clear" w:color="auto" w:fill="FFFFFF"/>
        </w:rPr>
        <w:t xml:space="preserve">information, </w:t>
      </w:r>
      <w:r>
        <w:rPr>
          <w:rFonts w:ascii="Book Antiqua" w:hAnsi="Book Antiqua"/>
          <w:color w:val="222222"/>
          <w:shd w:val="clear" w:color="auto" w:fill="FFFFFF"/>
        </w:rPr>
        <w:t xml:space="preserve">by agencies </w:t>
      </w:r>
      <w:r w:rsidRPr="003A4D13">
        <w:rPr>
          <w:rFonts w:ascii="Book Antiqua" w:hAnsi="Book Antiqua"/>
          <w:color w:val="222222"/>
          <w:shd w:val="clear" w:color="auto" w:fill="FFFFFF"/>
        </w:rPr>
        <w:t>including the OHCHR</w:t>
      </w:r>
      <w:r>
        <w:rPr>
          <w:rFonts w:ascii="Book Antiqua" w:hAnsi="Book Antiqua"/>
          <w:color w:val="222222"/>
          <w:shd w:val="clear" w:color="auto" w:fill="FFFFFF"/>
        </w:rPr>
        <w:t>,</w:t>
      </w:r>
      <w:r w:rsidRPr="003A4D13">
        <w:rPr>
          <w:rFonts w:ascii="Book Antiqua" w:hAnsi="Book Antiqua"/>
          <w:color w:val="222222"/>
          <w:shd w:val="clear" w:color="auto" w:fill="FFFFFF"/>
        </w:rPr>
        <w:t xml:space="preserve"> which is required to seek the truth.</w:t>
      </w:r>
    </w:p>
    <w:p w:rsidR="008525FD" w:rsidRDefault="008525FD" w:rsidP="008525FD">
      <w:pPr>
        <w:shd w:val="clear" w:color="auto" w:fill="FFFFFF"/>
        <w:spacing w:line="276" w:lineRule="auto"/>
        <w:jc w:val="both"/>
        <w:rPr>
          <w:rFonts w:ascii="Book Antiqua" w:hAnsi="Book Antiqua"/>
          <w:color w:val="222222"/>
          <w:shd w:val="clear" w:color="auto" w:fill="FFFFFF"/>
        </w:rPr>
      </w:pPr>
    </w:p>
    <w:p w:rsidR="008525FD" w:rsidRPr="003A4D13" w:rsidRDefault="008525FD" w:rsidP="008525FD">
      <w:pPr>
        <w:shd w:val="clear" w:color="auto" w:fill="FFFFFF"/>
        <w:spacing w:line="276" w:lineRule="auto"/>
        <w:jc w:val="both"/>
        <w:rPr>
          <w:rFonts w:ascii="Book Antiqua" w:hAnsi="Book Antiqua"/>
          <w:color w:val="222222"/>
          <w:shd w:val="clear" w:color="auto" w:fill="FFFFFF"/>
        </w:rPr>
      </w:pP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With reference to paragraph 31, it must be noted that constitutional reform is a continuing process conducted in accordance with the procedures of Parliament, which has moved forward unimpeded notwithstanding other political developments in the country. This process requires addressing all issues relevant to the diverse populace of Sri Lanka and is necessarily embarked upon taking cognizance of the concerns of all stakeholders. </w:t>
      </w:r>
    </w:p>
    <w:p w:rsidR="008525FD" w:rsidRPr="003A4D13" w:rsidRDefault="008525FD" w:rsidP="008525FD">
      <w:pPr>
        <w:spacing w:line="276" w:lineRule="auto"/>
        <w:jc w:val="both"/>
        <w:rPr>
          <w:rFonts w:ascii="Book Antiqua" w:hAnsi="Book Antiqua" w:cs="Tahoma"/>
        </w:rPr>
      </w:pPr>
      <w:r w:rsidRPr="003A4D13">
        <w:rPr>
          <w:rFonts w:ascii="Book Antiqua" w:hAnsi="Book Antiqua" w:cs="Tahoma"/>
        </w:rPr>
        <w:t xml:space="preserve">Madam High Commissioner, </w:t>
      </w:r>
    </w:p>
    <w:p w:rsidR="008525FD" w:rsidRDefault="008525FD" w:rsidP="008525FD">
      <w:pPr>
        <w:spacing w:line="276" w:lineRule="auto"/>
        <w:jc w:val="both"/>
        <w:rPr>
          <w:rFonts w:ascii="Book Antiqua" w:hAnsi="Book Antiqua" w:cs="Tahoma"/>
        </w:rPr>
      </w:pPr>
      <w:r w:rsidRPr="003A4D13">
        <w:rPr>
          <w:rFonts w:ascii="Book Antiqua" w:hAnsi="Book Antiqua" w:cs="Tahoma"/>
        </w:rPr>
        <w:t xml:space="preserve">With reference to paragraph 32, it may be noted that the draft legislation with regard to </w:t>
      </w:r>
      <w:r>
        <w:rPr>
          <w:rFonts w:ascii="Book Antiqua" w:hAnsi="Book Antiqua" w:cs="Tahoma"/>
        </w:rPr>
        <w:t xml:space="preserve">the </w:t>
      </w:r>
      <w:r w:rsidRPr="003A4D13">
        <w:rPr>
          <w:rFonts w:ascii="Book Antiqua" w:hAnsi="Book Antiqua" w:cs="Tahoma"/>
        </w:rPr>
        <w:t xml:space="preserve">counter terrorism law had inputs from a multiplicity of stakeholders, as well as technical assistance from UN agencies, who were fully engaged in developing the proposed draft to ensure compliance with international norms and best practices. In this exercise, all stakeholders were afforded the opportunity to contest the contents of the proposed Bill before the Supreme Court of Sri Lanka, which was availed of by several parties. Accordingly, the contested sections have received consideration of the Supreme Court and its views on the contents of the Bill are now before the Sectoral Oversight Committee on International Relations in Parliament, where committed discussions have been held, including with civil society. It is also pertinent to note that certain segments of Sri Lanka’s civil society have advocated the repeal of the PTA and non-introduction of any further legislation to deal with terrorism-related issues.  These matters that have been placed before the Oversight Committee of Parliament, have resulted in a further prolonged deliberation process in enacting the CTA. </w:t>
      </w:r>
    </w:p>
    <w:p w:rsidR="008525FD" w:rsidRPr="003A4D13" w:rsidRDefault="008525FD" w:rsidP="008525FD">
      <w:pPr>
        <w:spacing w:line="276" w:lineRule="auto"/>
        <w:jc w:val="both"/>
        <w:rPr>
          <w:rFonts w:ascii="Book Antiqua" w:hAnsi="Book Antiqua" w:cs="Times New Roman"/>
        </w:rPr>
      </w:pPr>
      <w:r w:rsidRPr="003A4D13">
        <w:rPr>
          <w:rFonts w:ascii="Book Antiqua" w:hAnsi="Book Antiqua" w:cs="Times New Roman"/>
        </w:rPr>
        <w:t xml:space="preserve">With reference to the paragraph 35, Sri Lanka appreciates the recognition by the Council of the considerable efforts taken by GOSL in releasing lands held by the security forces. </w:t>
      </w:r>
    </w:p>
    <w:p w:rsidR="008525FD" w:rsidRPr="003A4D13" w:rsidRDefault="008525FD" w:rsidP="008525FD">
      <w:pPr>
        <w:spacing w:line="276" w:lineRule="auto"/>
        <w:jc w:val="both"/>
        <w:rPr>
          <w:rFonts w:ascii="Book Antiqua" w:hAnsi="Book Antiqua" w:cs="Tahoma"/>
        </w:rPr>
      </w:pPr>
      <w:r w:rsidRPr="003A4D13">
        <w:rPr>
          <w:rFonts w:ascii="Book Antiqua" w:hAnsi="Book Antiqua" w:cs="Times New Roman"/>
        </w:rPr>
        <w:t>As I pointed out in the Sri Lanka Parliament on 14</w:t>
      </w:r>
      <w:r w:rsidRPr="003A4D13">
        <w:rPr>
          <w:rFonts w:ascii="Book Antiqua" w:hAnsi="Book Antiqua" w:cs="Times New Roman"/>
          <w:vertAlign w:val="superscript"/>
        </w:rPr>
        <w:t>th</w:t>
      </w:r>
      <w:r w:rsidRPr="003A4D13">
        <w:rPr>
          <w:rFonts w:ascii="Book Antiqua" w:hAnsi="Book Antiqua" w:cs="Times New Roman"/>
        </w:rPr>
        <w:t xml:space="preserve"> March 2019, I would like to emphasize that the data reflected in the High Commissioner’s report that only 75% of the land </w:t>
      </w:r>
      <w:r>
        <w:rPr>
          <w:rFonts w:ascii="Book Antiqua" w:hAnsi="Book Antiqua" w:cs="Times New Roman"/>
        </w:rPr>
        <w:t xml:space="preserve">held in 2009 by the security forces </w:t>
      </w:r>
      <w:r w:rsidRPr="003A4D13">
        <w:rPr>
          <w:rFonts w:ascii="Book Antiqua" w:hAnsi="Book Antiqua" w:cs="Times New Roman"/>
        </w:rPr>
        <w:t xml:space="preserve">has been released is at significant variance with the actual numbers.  </w:t>
      </w:r>
    </w:p>
    <w:p w:rsidR="008525FD" w:rsidRPr="003A4D13" w:rsidRDefault="008525FD" w:rsidP="008525FD">
      <w:pPr>
        <w:pStyle w:val="NoSpacing"/>
        <w:numPr>
          <w:ilvl w:val="0"/>
          <w:numId w:val="1"/>
        </w:numPr>
        <w:spacing w:line="276" w:lineRule="auto"/>
        <w:jc w:val="both"/>
        <w:rPr>
          <w:rFonts w:ascii="Book Antiqua" w:hAnsi="Book Antiqua" w:cs="Times New Roman"/>
        </w:rPr>
      </w:pPr>
      <w:r w:rsidRPr="003A4D13">
        <w:rPr>
          <w:rFonts w:ascii="Book Antiqua" w:hAnsi="Book Antiqua" w:cs="Times New Roman"/>
        </w:rPr>
        <w:t>Of the 71,172.56 acres of State lands held by the Security Forces, since May 2009, 63,257.48 acres have been released, as at 12</w:t>
      </w:r>
      <w:r w:rsidRPr="003A4D13">
        <w:rPr>
          <w:rFonts w:ascii="Book Antiqua" w:hAnsi="Book Antiqua" w:cs="Times New Roman"/>
          <w:vertAlign w:val="superscript"/>
        </w:rPr>
        <w:t>th</w:t>
      </w:r>
      <w:r w:rsidRPr="003A4D13">
        <w:rPr>
          <w:rFonts w:ascii="Book Antiqua" w:hAnsi="Book Antiqua" w:cs="Times New Roman"/>
        </w:rPr>
        <w:t xml:space="preserve"> March 2019, i.e. a release of 88.87% of land originally held.</w:t>
      </w:r>
    </w:p>
    <w:p w:rsidR="008525FD" w:rsidRPr="003A4D13" w:rsidRDefault="008525FD" w:rsidP="008525FD">
      <w:pPr>
        <w:pStyle w:val="NoSpacing"/>
        <w:spacing w:line="276" w:lineRule="auto"/>
        <w:rPr>
          <w:rFonts w:ascii="Book Antiqua" w:hAnsi="Book Antiqua"/>
        </w:rPr>
      </w:pPr>
    </w:p>
    <w:p w:rsidR="008525FD" w:rsidRPr="003A4D13" w:rsidRDefault="008525FD" w:rsidP="008525FD">
      <w:pPr>
        <w:pStyle w:val="NoSpacing"/>
        <w:numPr>
          <w:ilvl w:val="0"/>
          <w:numId w:val="1"/>
        </w:numPr>
        <w:spacing w:line="276" w:lineRule="auto"/>
        <w:jc w:val="both"/>
        <w:rPr>
          <w:rFonts w:ascii="Book Antiqua" w:hAnsi="Book Antiqua" w:cs="Times New Roman"/>
        </w:rPr>
      </w:pPr>
      <w:r w:rsidRPr="003A4D13">
        <w:rPr>
          <w:rFonts w:ascii="Book Antiqua" w:hAnsi="Book Antiqua" w:cs="Times New Roman"/>
        </w:rPr>
        <w:t xml:space="preserve">Of the 28,215.29 acres of the private land held by the Security Forces since May 2009, 26,005.17 acres (92.16%) have been released </w:t>
      </w:r>
      <w:r>
        <w:rPr>
          <w:rFonts w:ascii="Book Antiqua" w:hAnsi="Book Antiqua" w:cs="Times New Roman"/>
        </w:rPr>
        <w:t xml:space="preserve">as </w:t>
      </w:r>
      <w:r w:rsidRPr="003A4D13">
        <w:rPr>
          <w:rFonts w:ascii="Book Antiqua" w:hAnsi="Book Antiqua" w:cs="Times New Roman"/>
        </w:rPr>
        <w:t>at 12</w:t>
      </w:r>
      <w:r w:rsidRPr="003A4D13">
        <w:rPr>
          <w:rFonts w:ascii="Book Antiqua" w:hAnsi="Book Antiqua" w:cs="Times New Roman"/>
          <w:vertAlign w:val="superscript"/>
        </w:rPr>
        <w:t>th</w:t>
      </w:r>
      <w:r w:rsidRPr="003A4D13">
        <w:rPr>
          <w:rFonts w:ascii="Book Antiqua" w:hAnsi="Book Antiqua" w:cs="Times New Roman"/>
        </w:rPr>
        <w:t xml:space="preserve"> March2019. </w:t>
      </w:r>
    </w:p>
    <w:p w:rsidR="008525FD" w:rsidRPr="003A4D13" w:rsidRDefault="008525FD" w:rsidP="008525FD">
      <w:pPr>
        <w:pStyle w:val="NoSpacing"/>
        <w:spacing w:line="276" w:lineRule="auto"/>
        <w:rPr>
          <w:rFonts w:ascii="Book Antiqua" w:hAnsi="Book Antiqua"/>
        </w:rPr>
      </w:pPr>
      <w:bookmarkStart w:id="2" w:name="_Hlk3965422"/>
    </w:p>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 xml:space="preserve">These significant figures highlight the utmost priority accorded by the </w:t>
      </w:r>
      <w:r>
        <w:rPr>
          <w:rFonts w:ascii="Book Antiqua" w:hAnsi="Book Antiqua" w:cs="Times New Roman"/>
        </w:rPr>
        <w:t>Government</w:t>
      </w:r>
      <w:r w:rsidRPr="003A4D13">
        <w:rPr>
          <w:rFonts w:ascii="Book Antiqua" w:hAnsi="Book Antiqua" w:cs="Times New Roman"/>
        </w:rPr>
        <w:t xml:space="preserve"> to the incremental and expeditious release of lands held by the security forces. </w:t>
      </w:r>
    </w:p>
    <w:p w:rsidR="008525FD" w:rsidRPr="003A4D13" w:rsidRDefault="008525FD" w:rsidP="008525FD">
      <w:pPr>
        <w:pStyle w:val="NoSpacing"/>
        <w:spacing w:line="276" w:lineRule="auto"/>
        <w:rPr>
          <w:rFonts w:ascii="Book Antiqua" w:hAnsi="Book Antiqua"/>
        </w:rPr>
      </w:pPr>
    </w:p>
    <w:bookmarkEnd w:id="2"/>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However, the remaining lands, which are a necessity in the context of national security, would continue to be held by the security forces, with compensation being paid in respect of privately owned lands.</w:t>
      </w:r>
    </w:p>
    <w:p w:rsidR="008525FD" w:rsidRPr="003A4D13" w:rsidRDefault="008525FD" w:rsidP="008525FD">
      <w:pPr>
        <w:pStyle w:val="NoSpacing"/>
        <w:spacing w:line="276" w:lineRule="auto"/>
        <w:rPr>
          <w:rFonts w:ascii="Book Antiqua" w:hAnsi="Book Antiqua"/>
        </w:rPr>
      </w:pPr>
    </w:p>
    <w:p w:rsidR="008525FD" w:rsidRPr="003A4D13" w:rsidRDefault="008525FD" w:rsidP="008525FD">
      <w:pPr>
        <w:pStyle w:val="NoSpacing"/>
        <w:spacing w:line="276" w:lineRule="auto"/>
        <w:jc w:val="both"/>
        <w:rPr>
          <w:rFonts w:ascii="Book Antiqua" w:hAnsi="Book Antiqua" w:cs="Times New Roman"/>
        </w:rPr>
      </w:pPr>
      <w:bookmarkStart w:id="3" w:name="_Hlk3965342"/>
      <w:r w:rsidRPr="003A4D13">
        <w:rPr>
          <w:rFonts w:ascii="Book Antiqua" w:hAnsi="Book Antiqua" w:cs="Times New Roman"/>
        </w:rPr>
        <w:t xml:space="preserve">I wish to emphasize here that President Maithripala Sirisena’s pledge to complete the release of land and </w:t>
      </w:r>
      <w:r>
        <w:rPr>
          <w:rFonts w:ascii="Book Antiqua" w:hAnsi="Book Antiqua" w:cs="Times New Roman"/>
        </w:rPr>
        <w:t xml:space="preserve">the </w:t>
      </w:r>
      <w:r w:rsidRPr="003A4D13">
        <w:rPr>
          <w:rFonts w:ascii="Book Antiqua" w:hAnsi="Book Antiqua" w:cs="Times New Roman"/>
        </w:rPr>
        <w:t xml:space="preserve">appointment of a Presidential Task Force on Northern and Eastern Provinces Development through the Gazette Notification (No 2074/11 of 5 June 2018), considerably expedited the process over the past year. This Task Force which meets regularly to monitor and advice on development activities in the two Provinces, includes the Hon. Prime Minister, Cabinet Ministers, Governors of the Northern and Eastern Provinces, Chief Ministers, Chief Secretaries, all Heads of Departments and Members of Parliament representing the Northern and </w:t>
      </w:r>
      <w:r>
        <w:rPr>
          <w:rFonts w:ascii="Book Antiqua" w:hAnsi="Book Antiqua" w:cs="Times New Roman"/>
        </w:rPr>
        <w:t xml:space="preserve">the </w:t>
      </w:r>
      <w:r w:rsidRPr="003A4D13">
        <w:rPr>
          <w:rFonts w:ascii="Book Antiqua" w:hAnsi="Book Antiqua" w:cs="Times New Roman"/>
        </w:rPr>
        <w:t xml:space="preserve">Eastern Provinces, as well as the Secretaries of the Ministries of Defence, Finance and Foreign Affairs. </w:t>
      </w:r>
    </w:p>
    <w:p w:rsidR="008525FD" w:rsidRPr="003A4D13" w:rsidRDefault="008525FD" w:rsidP="008525FD">
      <w:pPr>
        <w:pStyle w:val="NoSpacing"/>
        <w:spacing w:line="276" w:lineRule="auto"/>
        <w:jc w:val="both"/>
        <w:rPr>
          <w:rFonts w:ascii="Book Antiqua" w:hAnsi="Book Antiqua" w:cs="Times New Roman"/>
        </w:rPr>
      </w:pPr>
    </w:p>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 xml:space="preserve">With regard to the issue of “lack of Infrastructure”, 66,100 houses have been constructed and handed over in the North and East to civilians during the period of 2009 to 2018. In 2019, work commenced, on the construction of 4,750 houses on an “owner driven model”.  It is anticipated that this programme would be completed by June 2019. </w:t>
      </w:r>
      <w:r>
        <w:rPr>
          <w:rFonts w:ascii="Book Antiqua" w:hAnsi="Book Antiqua" w:cs="Times New Roman"/>
        </w:rPr>
        <w:t>The Hon. Prime Minister has taken keen interest to see to the progress of the development in the North and East. On his recommendation a programme to construct 10,000 houses has commenced.</w:t>
      </w:r>
    </w:p>
    <w:bookmarkEnd w:id="3"/>
    <w:p w:rsidR="008525FD" w:rsidRPr="003A4D13" w:rsidRDefault="008525FD" w:rsidP="008525FD">
      <w:pPr>
        <w:pStyle w:val="NoSpacing"/>
        <w:spacing w:line="276" w:lineRule="auto"/>
        <w:rPr>
          <w:rFonts w:ascii="Book Antiqua" w:hAnsi="Book Antiqua"/>
        </w:rPr>
      </w:pPr>
    </w:p>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 xml:space="preserve">Other infrastructure development projects that have taken place since 2015 - 2018 are as follows:  </w:t>
      </w:r>
    </w:p>
    <w:p w:rsidR="008525FD" w:rsidRPr="003A4D13" w:rsidRDefault="008525FD" w:rsidP="008525FD">
      <w:pPr>
        <w:pStyle w:val="NoSpacing"/>
        <w:spacing w:line="276" w:lineRule="auto"/>
        <w:rPr>
          <w:rFonts w:ascii="Book Antiqua" w:hAnsi="Book Antiqua"/>
        </w:rPr>
      </w:pPr>
    </w:p>
    <w:p w:rsidR="008525FD" w:rsidRPr="003A4D13" w:rsidRDefault="008525FD" w:rsidP="008525FD">
      <w:pPr>
        <w:pStyle w:val="NoSpacing"/>
        <w:spacing w:line="276" w:lineRule="auto"/>
        <w:ind w:left="720"/>
        <w:jc w:val="both"/>
        <w:rPr>
          <w:rFonts w:ascii="Book Antiqua" w:hAnsi="Book Antiqua" w:cs="Times New Roman"/>
        </w:rPr>
      </w:pPr>
      <w:r w:rsidRPr="003A4D13">
        <w:rPr>
          <w:rFonts w:ascii="Book Antiqua" w:hAnsi="Book Antiqua" w:cs="Times New Roman"/>
        </w:rPr>
        <w:t>1. Livelihood Assistance</w:t>
      </w:r>
      <w:r w:rsidRPr="003A4D13">
        <w:rPr>
          <w:rFonts w:ascii="Book Antiqua" w:hAnsi="Book Antiqua" w:cs="Times New Roman"/>
        </w:rPr>
        <w:tab/>
      </w:r>
      <w:r w:rsidRPr="003A4D13">
        <w:rPr>
          <w:rFonts w:ascii="Book Antiqua" w:hAnsi="Book Antiqua" w:cs="Times New Roman"/>
        </w:rPr>
        <w:tab/>
        <w:t>-</w:t>
      </w:r>
      <w:r w:rsidRPr="003A4D13">
        <w:rPr>
          <w:rFonts w:ascii="Book Antiqua" w:hAnsi="Book Antiqua" w:cs="Times New Roman"/>
        </w:rPr>
        <w:tab/>
        <w:t>23,548 families (Rs. 100,000/- per family)</w:t>
      </w:r>
    </w:p>
    <w:p w:rsidR="008525FD" w:rsidRPr="003A4D13" w:rsidRDefault="008525FD" w:rsidP="008525FD">
      <w:pPr>
        <w:pStyle w:val="NoSpacing"/>
        <w:spacing w:line="276" w:lineRule="auto"/>
        <w:ind w:left="720"/>
        <w:jc w:val="both"/>
        <w:rPr>
          <w:rFonts w:ascii="Book Antiqua" w:hAnsi="Book Antiqua" w:cs="Times New Roman"/>
        </w:rPr>
      </w:pPr>
      <w:r w:rsidRPr="003A4D13">
        <w:rPr>
          <w:rFonts w:ascii="Book Antiqua" w:hAnsi="Book Antiqua" w:cs="Times New Roman"/>
        </w:rPr>
        <w:t xml:space="preserve">2. No of domestic common wells </w:t>
      </w:r>
      <w:r w:rsidRPr="003A4D13">
        <w:rPr>
          <w:rFonts w:ascii="Book Antiqua" w:hAnsi="Book Antiqua" w:cs="Times New Roman"/>
        </w:rPr>
        <w:tab/>
        <w:t>-</w:t>
      </w:r>
      <w:r w:rsidRPr="003A4D13">
        <w:rPr>
          <w:rFonts w:ascii="Book Antiqua" w:hAnsi="Book Antiqua" w:cs="Times New Roman"/>
        </w:rPr>
        <w:tab/>
        <w:t>1,817 nos.</w:t>
      </w:r>
    </w:p>
    <w:p w:rsidR="008525FD" w:rsidRPr="003A4D13" w:rsidRDefault="008525FD" w:rsidP="008525FD">
      <w:pPr>
        <w:pStyle w:val="NoSpacing"/>
        <w:spacing w:line="276" w:lineRule="auto"/>
        <w:ind w:left="720"/>
        <w:jc w:val="both"/>
        <w:rPr>
          <w:rFonts w:ascii="Book Antiqua" w:hAnsi="Book Antiqua" w:cs="Times New Roman"/>
        </w:rPr>
      </w:pPr>
      <w:r w:rsidRPr="003A4D13">
        <w:rPr>
          <w:rFonts w:ascii="Book Antiqua" w:hAnsi="Book Antiqua" w:cs="Times New Roman"/>
        </w:rPr>
        <w:t xml:space="preserve">3. No of Water Connections </w:t>
      </w:r>
      <w:r w:rsidRPr="003A4D13">
        <w:rPr>
          <w:rFonts w:ascii="Book Antiqua" w:hAnsi="Book Antiqua" w:cs="Times New Roman"/>
        </w:rPr>
        <w:tab/>
      </w:r>
      <w:r w:rsidRPr="003A4D13">
        <w:rPr>
          <w:rFonts w:ascii="Book Antiqua" w:hAnsi="Book Antiqua" w:cs="Times New Roman"/>
        </w:rPr>
        <w:tab/>
        <w:t>-</w:t>
      </w:r>
      <w:r w:rsidRPr="003A4D13">
        <w:rPr>
          <w:rFonts w:ascii="Book Antiqua" w:hAnsi="Book Antiqua" w:cs="Times New Roman"/>
        </w:rPr>
        <w:tab/>
        <w:t>10,245 families (Rs. 25,000/- per family)</w:t>
      </w:r>
    </w:p>
    <w:p w:rsidR="008525FD" w:rsidRPr="003A4D13" w:rsidRDefault="008525FD" w:rsidP="008525FD">
      <w:pPr>
        <w:pStyle w:val="NoSpacing"/>
        <w:spacing w:line="276" w:lineRule="auto"/>
        <w:ind w:left="720"/>
        <w:jc w:val="both"/>
        <w:rPr>
          <w:rFonts w:ascii="Book Antiqua" w:hAnsi="Book Antiqua" w:cs="Times New Roman"/>
        </w:rPr>
      </w:pPr>
      <w:r w:rsidRPr="003A4D13">
        <w:rPr>
          <w:rFonts w:ascii="Book Antiqua" w:hAnsi="Book Antiqua" w:cs="Times New Roman"/>
        </w:rPr>
        <w:t xml:space="preserve">4. Electricity Supply </w:t>
      </w:r>
      <w:r w:rsidRPr="003A4D13">
        <w:rPr>
          <w:rFonts w:ascii="Book Antiqua" w:hAnsi="Book Antiqua" w:cs="Times New Roman"/>
        </w:rPr>
        <w:tab/>
      </w:r>
      <w:r w:rsidRPr="003A4D13">
        <w:rPr>
          <w:rFonts w:ascii="Book Antiqua" w:hAnsi="Book Antiqua" w:cs="Times New Roman"/>
        </w:rPr>
        <w:tab/>
      </w:r>
      <w:r w:rsidRPr="003A4D13">
        <w:rPr>
          <w:rFonts w:ascii="Book Antiqua" w:hAnsi="Book Antiqua" w:cs="Times New Roman"/>
        </w:rPr>
        <w:tab/>
        <w:t>-</w:t>
      </w:r>
      <w:r w:rsidRPr="003A4D13">
        <w:rPr>
          <w:rFonts w:ascii="Book Antiqua" w:hAnsi="Book Antiqua" w:cs="Times New Roman"/>
        </w:rPr>
        <w:tab/>
        <w:t xml:space="preserve">14,374 families </w:t>
      </w:r>
    </w:p>
    <w:p w:rsidR="008525FD" w:rsidRPr="003A4D13" w:rsidRDefault="008525FD" w:rsidP="008525FD">
      <w:pPr>
        <w:pStyle w:val="NoSpacing"/>
        <w:spacing w:line="276" w:lineRule="auto"/>
        <w:ind w:left="720"/>
        <w:jc w:val="both"/>
        <w:rPr>
          <w:rFonts w:ascii="Book Antiqua" w:hAnsi="Book Antiqua" w:cs="Times New Roman"/>
        </w:rPr>
      </w:pPr>
      <w:r w:rsidRPr="003A4D13">
        <w:rPr>
          <w:rFonts w:ascii="Book Antiqua" w:hAnsi="Book Antiqua" w:cs="Times New Roman"/>
        </w:rPr>
        <w:t xml:space="preserve">5. Internal Roads </w:t>
      </w:r>
      <w:r w:rsidRPr="003A4D13">
        <w:rPr>
          <w:rFonts w:ascii="Book Antiqua" w:hAnsi="Book Antiqua" w:cs="Times New Roman"/>
        </w:rPr>
        <w:tab/>
      </w:r>
      <w:r w:rsidRPr="003A4D13">
        <w:rPr>
          <w:rFonts w:ascii="Book Antiqua" w:hAnsi="Book Antiqua" w:cs="Times New Roman"/>
        </w:rPr>
        <w:tab/>
      </w:r>
      <w:r w:rsidRPr="003A4D13">
        <w:rPr>
          <w:rFonts w:ascii="Book Antiqua" w:hAnsi="Book Antiqua" w:cs="Times New Roman"/>
        </w:rPr>
        <w:tab/>
        <w:t>-</w:t>
      </w:r>
      <w:r w:rsidRPr="003A4D13">
        <w:rPr>
          <w:rFonts w:ascii="Book Antiqua" w:hAnsi="Book Antiqua" w:cs="Times New Roman"/>
        </w:rPr>
        <w:tab/>
        <w:t>254 nos.</w:t>
      </w:r>
    </w:p>
    <w:p w:rsidR="008525FD" w:rsidRPr="003A4D13" w:rsidRDefault="008525FD" w:rsidP="008525FD">
      <w:pPr>
        <w:pStyle w:val="NoSpacing"/>
        <w:spacing w:line="276" w:lineRule="auto"/>
        <w:ind w:left="720" w:right="-450"/>
        <w:jc w:val="both"/>
        <w:rPr>
          <w:rFonts w:ascii="Book Antiqua" w:hAnsi="Book Antiqua" w:cs="Times New Roman"/>
        </w:rPr>
      </w:pPr>
      <w:r w:rsidRPr="003A4D13">
        <w:rPr>
          <w:rFonts w:ascii="Book Antiqua" w:hAnsi="Book Antiqua" w:cs="Times New Roman"/>
        </w:rPr>
        <w:t>6. No of Sanitation facilities                -</w:t>
      </w:r>
      <w:r w:rsidRPr="003A4D13">
        <w:rPr>
          <w:rFonts w:ascii="Book Antiqua" w:hAnsi="Book Antiqua" w:cs="Times New Roman"/>
        </w:rPr>
        <w:tab/>
        <w:t>14,238 families (Rs.60,000/-  per family)</w:t>
      </w:r>
    </w:p>
    <w:p w:rsidR="008525FD" w:rsidRPr="003A4D13" w:rsidRDefault="008525FD" w:rsidP="008525FD">
      <w:pPr>
        <w:pStyle w:val="NoSpacing"/>
        <w:spacing w:line="276" w:lineRule="auto"/>
        <w:ind w:left="720"/>
        <w:jc w:val="both"/>
        <w:rPr>
          <w:rFonts w:ascii="Book Antiqua" w:hAnsi="Book Antiqua" w:cs="Times New Roman"/>
        </w:rPr>
      </w:pPr>
      <w:r w:rsidRPr="003A4D13">
        <w:rPr>
          <w:rFonts w:ascii="Book Antiqua" w:hAnsi="Book Antiqua" w:cs="Times New Roman"/>
        </w:rPr>
        <w:t xml:space="preserve">7. Hospitals/Health Centers </w:t>
      </w:r>
      <w:r w:rsidRPr="003A4D13">
        <w:rPr>
          <w:rFonts w:ascii="Book Antiqua" w:hAnsi="Book Antiqua" w:cs="Times New Roman"/>
        </w:rPr>
        <w:tab/>
      </w:r>
      <w:r w:rsidRPr="003A4D13">
        <w:rPr>
          <w:rFonts w:ascii="Book Antiqua" w:hAnsi="Book Antiqua" w:cs="Times New Roman"/>
        </w:rPr>
        <w:tab/>
        <w:t>-</w:t>
      </w:r>
      <w:r w:rsidRPr="003A4D13">
        <w:rPr>
          <w:rFonts w:ascii="Book Antiqua" w:hAnsi="Book Antiqua" w:cs="Times New Roman"/>
        </w:rPr>
        <w:tab/>
        <w:t>56 nos.</w:t>
      </w:r>
    </w:p>
    <w:p w:rsidR="008525FD" w:rsidRPr="003A4D13" w:rsidRDefault="008525FD" w:rsidP="008525FD">
      <w:pPr>
        <w:pStyle w:val="NoSpacing"/>
        <w:spacing w:line="276" w:lineRule="auto"/>
        <w:jc w:val="both"/>
        <w:rPr>
          <w:rFonts w:ascii="Book Antiqua" w:hAnsi="Book Antiqua" w:cs="Times New Roman"/>
        </w:rPr>
      </w:pPr>
    </w:p>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 xml:space="preserve">The above represent only a few of </w:t>
      </w:r>
      <w:r>
        <w:rPr>
          <w:rFonts w:ascii="Book Antiqua" w:hAnsi="Book Antiqua" w:cs="Times New Roman"/>
        </w:rPr>
        <w:t xml:space="preserve">the </w:t>
      </w:r>
      <w:r w:rsidRPr="003A4D13">
        <w:rPr>
          <w:rFonts w:ascii="Book Antiqua" w:hAnsi="Book Antiqua" w:cs="Times New Roman"/>
        </w:rPr>
        <w:t xml:space="preserve">many development projects launched by the Government of Sri Lanka for the economic well-being of the people of the Northern and Eastern Provinces. </w:t>
      </w:r>
    </w:p>
    <w:p w:rsidR="008525FD" w:rsidRPr="003A4D13" w:rsidRDefault="008525FD" w:rsidP="008525FD">
      <w:pPr>
        <w:pStyle w:val="NoSpacing"/>
        <w:spacing w:line="276" w:lineRule="auto"/>
        <w:jc w:val="both"/>
        <w:rPr>
          <w:rFonts w:ascii="Book Antiqua" w:hAnsi="Book Antiqua" w:cs="Times New Roman"/>
        </w:rPr>
      </w:pPr>
    </w:p>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 xml:space="preserve">With reference to the concern raised on </w:t>
      </w:r>
      <w:r>
        <w:rPr>
          <w:rFonts w:ascii="Book Antiqua" w:hAnsi="Book Antiqua" w:cs="Times New Roman"/>
        </w:rPr>
        <w:t xml:space="preserve">the </w:t>
      </w:r>
      <w:r w:rsidRPr="003A4D13">
        <w:rPr>
          <w:rFonts w:ascii="Book Antiqua" w:hAnsi="Book Antiqua" w:cs="Times New Roman"/>
        </w:rPr>
        <w:t xml:space="preserve">alleged destruction of property before return, it needs to be </w:t>
      </w:r>
      <w:r>
        <w:rPr>
          <w:rFonts w:ascii="Book Antiqua" w:hAnsi="Book Antiqua" w:cs="Times New Roman"/>
        </w:rPr>
        <w:t xml:space="preserve">categorically stated </w:t>
      </w:r>
      <w:r w:rsidRPr="003A4D13">
        <w:rPr>
          <w:rFonts w:ascii="Book Antiqua" w:hAnsi="Book Antiqua" w:cs="Times New Roman"/>
        </w:rPr>
        <w:t xml:space="preserve">that there is no such government policy. On the contrary, the security forces have dismantled military infrastructure before </w:t>
      </w:r>
      <w:r>
        <w:rPr>
          <w:rFonts w:ascii="Book Antiqua" w:hAnsi="Book Antiqua" w:cs="Times New Roman"/>
        </w:rPr>
        <w:t xml:space="preserve">the </w:t>
      </w:r>
      <w:r w:rsidRPr="003A4D13">
        <w:rPr>
          <w:rFonts w:ascii="Book Antiqua" w:hAnsi="Book Antiqua" w:cs="Times New Roman"/>
        </w:rPr>
        <w:t xml:space="preserve">handover </w:t>
      </w:r>
      <w:r>
        <w:rPr>
          <w:rFonts w:ascii="Book Antiqua" w:hAnsi="Book Antiqua" w:cs="Times New Roman"/>
        </w:rPr>
        <w:t>in the interest of</w:t>
      </w:r>
      <w:r w:rsidRPr="003A4D13">
        <w:rPr>
          <w:rFonts w:ascii="Book Antiqua" w:hAnsi="Book Antiqua" w:cs="Times New Roman"/>
        </w:rPr>
        <w:t xml:space="preserve"> the safety and facilitation </w:t>
      </w:r>
      <w:r>
        <w:rPr>
          <w:rFonts w:ascii="Book Antiqua" w:hAnsi="Book Antiqua" w:cs="Times New Roman"/>
        </w:rPr>
        <w:t>for</w:t>
      </w:r>
      <w:r w:rsidRPr="003A4D13">
        <w:rPr>
          <w:rFonts w:ascii="Book Antiqua" w:hAnsi="Book Antiqua" w:cs="Times New Roman"/>
        </w:rPr>
        <w:t xml:space="preserve"> civilians. </w:t>
      </w:r>
    </w:p>
    <w:p w:rsidR="008525FD" w:rsidRPr="003A4D13" w:rsidRDefault="008525FD" w:rsidP="008525FD">
      <w:pPr>
        <w:pStyle w:val="NoSpacing"/>
        <w:spacing w:line="276" w:lineRule="auto"/>
        <w:jc w:val="both"/>
        <w:rPr>
          <w:rFonts w:ascii="Book Antiqua" w:hAnsi="Book Antiqua" w:cs="Times New Roman"/>
        </w:rPr>
      </w:pPr>
    </w:p>
    <w:p w:rsidR="008525FD" w:rsidRPr="003A4D13" w:rsidRDefault="008525FD" w:rsidP="008525FD">
      <w:pPr>
        <w:pStyle w:val="NoSpacing"/>
        <w:spacing w:line="276" w:lineRule="auto"/>
        <w:jc w:val="both"/>
        <w:rPr>
          <w:rFonts w:ascii="Book Antiqua" w:hAnsi="Book Antiqua" w:cs="Times New Roman"/>
        </w:rPr>
      </w:pPr>
      <w:r w:rsidRPr="003A4D13">
        <w:rPr>
          <w:rFonts w:ascii="Book Antiqua" w:hAnsi="Book Antiqua" w:cs="Times New Roman"/>
        </w:rPr>
        <w:t xml:space="preserve">It must also be noted, Madam High Commissioner, that the Government of Sri Lanka has no policy of “Colonization” of either the Northern Province or Eastern Province, or as a matter of fact, </w:t>
      </w:r>
      <w:r>
        <w:rPr>
          <w:rFonts w:ascii="Book Antiqua" w:hAnsi="Book Antiqua" w:cs="Times New Roman"/>
        </w:rPr>
        <w:t xml:space="preserve">of any province in the </w:t>
      </w:r>
      <w:r w:rsidRPr="003A4D13">
        <w:rPr>
          <w:rFonts w:ascii="Book Antiqua" w:hAnsi="Book Antiqua" w:cs="Times New Roman"/>
        </w:rPr>
        <w:t>country.</w:t>
      </w:r>
      <w:r>
        <w:rPr>
          <w:rFonts w:ascii="Book Antiqua" w:hAnsi="Book Antiqua" w:cs="Times New Roman"/>
        </w:rPr>
        <w:t xml:space="preserve"> As regards the contention that land owners are deprived their land by declaring their land as forest cover or as archeological projects, it must be clearly and categorically stated that the Government has not resorted to any such measures. However, it must be born in mind that the protection of forest land and archaeological projects is an obligation cast on any State in accordance with its international obligations that mandate protection and preservation of the environment and of cultural heritage. Furthermore, in identifying the relevant forest land and the cultural heritage, respective provincial administrations are also consulted.</w:t>
      </w:r>
    </w:p>
    <w:p w:rsidR="008525FD" w:rsidRPr="003A4D13" w:rsidRDefault="008525FD" w:rsidP="008525FD">
      <w:pPr>
        <w:pStyle w:val="NoSpacing"/>
        <w:spacing w:line="276" w:lineRule="auto"/>
        <w:jc w:val="both"/>
        <w:rPr>
          <w:rFonts w:ascii="Book Antiqua" w:hAnsi="Book Antiqua" w:cs="Times New Roman"/>
        </w:rPr>
      </w:pPr>
    </w:p>
    <w:p w:rsidR="008525FD" w:rsidRPr="003A4D13" w:rsidRDefault="008525FD" w:rsidP="008525FD">
      <w:pPr>
        <w:spacing w:line="276" w:lineRule="auto"/>
        <w:jc w:val="both"/>
        <w:rPr>
          <w:rFonts w:ascii="Book Antiqua" w:hAnsi="Book Antiqua"/>
          <w:bCs/>
          <w:lang w:val="en-GB"/>
        </w:rPr>
      </w:pPr>
      <w:r w:rsidRPr="003A4D13">
        <w:rPr>
          <w:rFonts w:ascii="Book Antiqua" w:hAnsi="Book Antiqua"/>
          <w:bCs/>
          <w:lang w:val="en-GB"/>
        </w:rPr>
        <w:t xml:space="preserve">While fully acknowledging the mandate of this Council </w:t>
      </w:r>
      <w:r w:rsidRPr="003A4D13">
        <w:rPr>
          <w:rFonts w:ascii="Book Antiqua" w:hAnsi="Book Antiqua"/>
          <w:lang w:val="en-GB"/>
        </w:rPr>
        <w:t xml:space="preserve">in the prevention of human rights violations and responding promptly to human rights emergencies around the world, Sri Lanka believes that this Council knows only too well the </w:t>
      </w:r>
      <w:r w:rsidRPr="003A4D13">
        <w:rPr>
          <w:rFonts w:ascii="Book Antiqua" w:hAnsi="Book Antiqua"/>
          <w:bCs/>
          <w:lang w:val="en-GB"/>
        </w:rPr>
        <w:t xml:space="preserve">comparative experiences of countries which have traversed the path of post-conflict transition and reconciliation. These countries have often made deliberate efforts to maintain a careful balance between the speed of the transitional justice process and the desired quality, inclusiveness, comprehensiveness and sustainability of the outcomes. This is particularly true for countries like Sri Lanka, where unlike in certain other post-conflict situations, the challenge is not one of ‘State building’, but of ‘peace building’. </w:t>
      </w:r>
      <w:r w:rsidRPr="003A4D13">
        <w:rPr>
          <w:rFonts w:ascii="Book Antiqua" w:hAnsi="Book Antiqua"/>
          <w:lang w:val="en-GB"/>
        </w:rPr>
        <w:t xml:space="preserve">The Government of Sri Lanka is committed to finding effective and culturally sensitive </w:t>
      </w:r>
      <w:r>
        <w:rPr>
          <w:rFonts w:ascii="Book Antiqua" w:hAnsi="Book Antiqua"/>
          <w:lang w:val="en-GB"/>
        </w:rPr>
        <w:t xml:space="preserve">and viable </w:t>
      </w:r>
      <w:r w:rsidRPr="003A4D13">
        <w:rPr>
          <w:rFonts w:ascii="Book Antiqua" w:hAnsi="Book Antiqua"/>
          <w:lang w:val="en-GB"/>
        </w:rPr>
        <w:t xml:space="preserve">practices of healing and social co-existence. </w:t>
      </w:r>
    </w:p>
    <w:p w:rsidR="008525FD" w:rsidRPr="003A4D13" w:rsidRDefault="008525FD" w:rsidP="008525FD">
      <w:pPr>
        <w:spacing w:line="276" w:lineRule="auto"/>
        <w:jc w:val="both"/>
        <w:rPr>
          <w:rFonts w:ascii="Book Antiqua" w:hAnsi="Book Antiqua"/>
          <w:bCs/>
          <w:lang w:val="en-GB"/>
        </w:rPr>
      </w:pPr>
      <w:r w:rsidRPr="003A4D13">
        <w:rPr>
          <w:rFonts w:ascii="Book Antiqua" w:hAnsi="Book Antiqua"/>
          <w:bCs/>
          <w:lang w:val="en-GB"/>
        </w:rPr>
        <w:t xml:space="preserve">However, the considerable unevenness in the standards of proof applied to </w:t>
      </w:r>
      <w:r>
        <w:rPr>
          <w:rFonts w:ascii="Book Antiqua" w:hAnsi="Book Antiqua"/>
          <w:bCs/>
          <w:lang w:val="en-GB"/>
        </w:rPr>
        <w:t xml:space="preserve">the </w:t>
      </w:r>
      <w:r w:rsidRPr="003A4D13">
        <w:rPr>
          <w:rFonts w:ascii="Book Antiqua" w:hAnsi="Book Antiqua"/>
          <w:bCs/>
          <w:lang w:val="en-GB"/>
        </w:rPr>
        <w:t xml:space="preserve">Government of Sri Lanka, compared to </w:t>
      </w:r>
      <w:r>
        <w:rPr>
          <w:rFonts w:ascii="Book Antiqua" w:hAnsi="Book Antiqua"/>
          <w:bCs/>
          <w:lang w:val="en-GB"/>
        </w:rPr>
        <w:t xml:space="preserve">those applied to </w:t>
      </w:r>
      <w:r w:rsidRPr="003A4D13">
        <w:rPr>
          <w:rFonts w:ascii="Book Antiqua" w:hAnsi="Book Antiqua"/>
          <w:bCs/>
          <w:lang w:val="en-GB"/>
        </w:rPr>
        <w:t>the unsubstantiated allegations made by Sri Lanka’s detractors is problematic</w:t>
      </w:r>
      <w:r>
        <w:rPr>
          <w:rFonts w:ascii="Book Antiqua" w:hAnsi="Book Antiqua"/>
          <w:bCs/>
          <w:lang w:val="en-GB"/>
        </w:rPr>
        <w:t xml:space="preserve"> and confounding</w:t>
      </w:r>
      <w:r w:rsidRPr="003A4D13">
        <w:rPr>
          <w:rFonts w:ascii="Book Antiqua" w:hAnsi="Book Antiqua"/>
          <w:bCs/>
          <w:lang w:val="en-GB"/>
        </w:rPr>
        <w:t xml:space="preserve">. In this context, the Mannar graves referred to in </w:t>
      </w:r>
      <w:r>
        <w:rPr>
          <w:rFonts w:ascii="Book Antiqua" w:hAnsi="Book Antiqua"/>
          <w:bCs/>
          <w:lang w:val="en-GB"/>
        </w:rPr>
        <w:t xml:space="preserve">para 23 of </w:t>
      </w:r>
      <w:r w:rsidRPr="003A4D13">
        <w:rPr>
          <w:rFonts w:ascii="Book Antiqua" w:hAnsi="Book Antiqua"/>
          <w:bCs/>
          <w:lang w:val="en-GB"/>
        </w:rPr>
        <w:t>the High Commissioner’s Report and elaborated earlier is a case in point. While this report may have been compiled over several months</w:t>
      </w:r>
      <w:r>
        <w:rPr>
          <w:rFonts w:ascii="Book Antiqua" w:hAnsi="Book Antiqua"/>
          <w:bCs/>
          <w:lang w:val="en-GB"/>
        </w:rPr>
        <w:t xml:space="preserve"> ago</w:t>
      </w:r>
      <w:r w:rsidRPr="003A4D13">
        <w:rPr>
          <w:rFonts w:ascii="Book Antiqua" w:hAnsi="Book Antiqua"/>
          <w:bCs/>
          <w:lang w:val="en-GB"/>
        </w:rPr>
        <w:t xml:space="preserve">, at the time of its release, a determination on the dating of the remains had </w:t>
      </w:r>
      <w:r>
        <w:rPr>
          <w:rFonts w:ascii="Book Antiqua" w:hAnsi="Book Antiqua"/>
          <w:bCs/>
          <w:lang w:val="en-GB"/>
        </w:rPr>
        <w:t xml:space="preserve">already </w:t>
      </w:r>
      <w:r w:rsidRPr="003A4D13">
        <w:rPr>
          <w:rFonts w:ascii="Book Antiqua" w:hAnsi="Book Antiqua"/>
          <w:bCs/>
          <w:lang w:val="en-GB"/>
        </w:rPr>
        <w:t>been made based on forensic evidence.  We do not see this important detail included in the report. Moreover, the report presupposes “other mass graves might be expected to be found in the future”. An assumption of this nature in a public report, on a matter of this magnitude and seriousness, is not acceptable</w:t>
      </w:r>
      <w:r>
        <w:rPr>
          <w:rFonts w:ascii="Book Antiqua" w:hAnsi="Book Antiqua"/>
          <w:bCs/>
          <w:lang w:val="en-GB"/>
        </w:rPr>
        <w:t>, and may even cast a doubt as regards other assertions in the report.</w:t>
      </w:r>
    </w:p>
    <w:p w:rsidR="008525FD" w:rsidRPr="00FA1EF0" w:rsidRDefault="008525FD" w:rsidP="008525FD">
      <w:pPr>
        <w:spacing w:line="276" w:lineRule="auto"/>
        <w:jc w:val="both"/>
        <w:rPr>
          <w:rFonts w:ascii="Book Antiqua" w:hAnsi="Book Antiqua"/>
          <w:bCs/>
          <w:lang w:val="en-GB"/>
        </w:rPr>
      </w:pPr>
      <w:r w:rsidRPr="003A4D13">
        <w:rPr>
          <w:rFonts w:ascii="Book Antiqua" w:hAnsi="Book Antiqua"/>
          <w:bCs/>
          <w:lang w:val="en-GB"/>
        </w:rPr>
        <w:t>Conventional wis</w:t>
      </w:r>
      <w:r>
        <w:rPr>
          <w:rFonts w:ascii="Book Antiqua" w:hAnsi="Book Antiqua"/>
          <w:bCs/>
          <w:lang w:val="en-GB"/>
        </w:rPr>
        <w:t xml:space="preserve">dom teaches us that when facts </w:t>
      </w:r>
      <w:r w:rsidRPr="003A4D13">
        <w:rPr>
          <w:rFonts w:ascii="Book Antiqua" w:hAnsi="Book Antiqua"/>
          <w:bCs/>
          <w:lang w:val="en-GB"/>
        </w:rPr>
        <w:t xml:space="preserve">do not fit a theory, the theory has to change. However, conventional wisdom does not seem to be applied to Sri Lanka’s case. </w:t>
      </w:r>
      <w:r w:rsidRPr="00FA1EF0">
        <w:rPr>
          <w:rFonts w:ascii="Book Antiqua" w:hAnsi="Book Antiqua"/>
          <w:bCs/>
          <w:lang w:val="en-GB"/>
        </w:rPr>
        <w:t xml:space="preserve">It seems that even if the theory is disproved through hard evidence that absolves Sri Lanka, as in the case of the Mannar graves, a matter in which some sceptics sought to implicate the Government of Sri Lanka, such facts are cast aside for further inquiry. </w:t>
      </w:r>
    </w:p>
    <w:p w:rsidR="008525FD" w:rsidRPr="003A4D13" w:rsidRDefault="008525FD" w:rsidP="008525FD">
      <w:pPr>
        <w:pStyle w:val="ListParagraph"/>
        <w:spacing w:line="276" w:lineRule="auto"/>
        <w:jc w:val="both"/>
        <w:rPr>
          <w:rFonts w:ascii="Book Antiqua" w:hAnsi="Book Antiqua"/>
          <w:bCs/>
          <w:sz w:val="22"/>
          <w:szCs w:val="22"/>
          <w:lang w:val="en-GB"/>
        </w:rPr>
      </w:pPr>
    </w:p>
    <w:p w:rsidR="008525FD" w:rsidRDefault="008525FD" w:rsidP="008525FD">
      <w:pPr>
        <w:pStyle w:val="ListParagraph"/>
        <w:spacing w:line="276" w:lineRule="auto"/>
        <w:ind w:left="0"/>
        <w:jc w:val="both"/>
        <w:rPr>
          <w:rFonts w:ascii="Book Antiqua" w:hAnsi="Book Antiqua"/>
          <w:bCs/>
          <w:sz w:val="22"/>
          <w:szCs w:val="22"/>
          <w:lang w:val="en-GB"/>
        </w:rPr>
      </w:pPr>
      <w:r w:rsidRPr="0053384E">
        <w:rPr>
          <w:rFonts w:ascii="Book Antiqua" w:hAnsi="Book Antiqua"/>
          <w:bCs/>
          <w:sz w:val="22"/>
          <w:szCs w:val="22"/>
          <w:lang w:val="en-GB"/>
        </w:rPr>
        <w:t xml:space="preserve">At the same time, </w:t>
      </w:r>
      <w:r w:rsidRPr="005F47A7">
        <w:rPr>
          <w:rFonts w:ascii="Book Antiqua" w:hAnsi="Book Antiqua"/>
          <w:color w:val="222222"/>
          <w:sz w:val="22"/>
          <w:szCs w:val="22"/>
          <w:shd w:val="clear" w:color="auto" w:fill="FFFFFF"/>
        </w:rPr>
        <w:t xml:space="preserve">as stated earlier, </w:t>
      </w:r>
      <w:r w:rsidRPr="005F47A7">
        <w:rPr>
          <w:rFonts w:ascii="Book Antiqua" w:hAnsi="Book Antiqua"/>
          <w:bCs/>
          <w:sz w:val="22"/>
          <w:szCs w:val="22"/>
          <w:lang w:val="en-GB"/>
        </w:rPr>
        <w:t xml:space="preserve">when evidence surfaces, which </w:t>
      </w:r>
      <w:r w:rsidRPr="00FA1EF0">
        <w:rPr>
          <w:rFonts w:ascii="Book Antiqua" w:hAnsi="Book Antiqua"/>
          <w:bCs/>
          <w:sz w:val="22"/>
          <w:szCs w:val="22"/>
          <w:lang w:val="en-GB"/>
        </w:rPr>
        <w:t>contests the culpability of the Sri Lankan security forces and police in having deliberately caused civilian casualties during the last phase</w:t>
      </w:r>
      <w:r>
        <w:rPr>
          <w:rFonts w:ascii="Book Antiqua" w:hAnsi="Book Antiqua"/>
          <w:bCs/>
          <w:sz w:val="22"/>
          <w:szCs w:val="22"/>
          <w:lang w:val="en-GB"/>
        </w:rPr>
        <w:t xml:space="preserve"> of the conflict</w:t>
      </w:r>
      <w:r w:rsidRPr="005F47A7">
        <w:rPr>
          <w:rFonts w:ascii="Book Antiqua" w:hAnsi="Book Antiqua"/>
          <w:bCs/>
          <w:sz w:val="22"/>
          <w:szCs w:val="22"/>
          <w:lang w:val="en-GB"/>
        </w:rPr>
        <w:t xml:space="preserve">, this evidence is </w:t>
      </w:r>
      <w:r>
        <w:rPr>
          <w:rFonts w:ascii="Book Antiqua" w:hAnsi="Book Antiqua"/>
          <w:bCs/>
          <w:sz w:val="22"/>
          <w:szCs w:val="22"/>
          <w:lang w:val="en-GB"/>
        </w:rPr>
        <w:t>summarily disregarded.</w:t>
      </w:r>
    </w:p>
    <w:p w:rsidR="008525FD" w:rsidRDefault="008525FD" w:rsidP="008525FD">
      <w:pPr>
        <w:pStyle w:val="ListParagraph"/>
        <w:spacing w:line="276" w:lineRule="auto"/>
        <w:ind w:left="0"/>
        <w:jc w:val="both"/>
        <w:rPr>
          <w:rFonts w:ascii="Book Antiqua" w:hAnsi="Book Antiqua"/>
          <w:bCs/>
          <w:sz w:val="22"/>
          <w:szCs w:val="22"/>
          <w:lang w:val="en-GB"/>
        </w:rPr>
      </w:pPr>
    </w:p>
    <w:p w:rsidR="008525FD" w:rsidRPr="0053384E" w:rsidRDefault="008525FD" w:rsidP="008525FD">
      <w:pPr>
        <w:pStyle w:val="ListParagraph"/>
        <w:spacing w:line="276" w:lineRule="auto"/>
        <w:ind w:left="0"/>
        <w:jc w:val="both"/>
        <w:rPr>
          <w:rFonts w:ascii="Book Antiqua" w:hAnsi="Book Antiqua"/>
          <w:bCs/>
          <w:lang w:val="en-GB"/>
        </w:rPr>
      </w:pPr>
      <w:r>
        <w:rPr>
          <w:rFonts w:ascii="Book Antiqua" w:hAnsi="Book Antiqua"/>
          <w:bCs/>
          <w:sz w:val="22"/>
          <w:szCs w:val="22"/>
          <w:lang w:val="en-GB"/>
        </w:rPr>
        <w:t xml:space="preserve"> </w:t>
      </w:r>
      <w:r w:rsidRPr="005F47A7">
        <w:rPr>
          <w:rFonts w:ascii="Book Antiqua" w:hAnsi="Book Antiqua"/>
          <w:bCs/>
          <w:sz w:val="22"/>
          <w:szCs w:val="22"/>
          <w:lang w:val="en-GB"/>
        </w:rPr>
        <w:t xml:space="preserve"> </w:t>
      </w:r>
      <w:r w:rsidRPr="00FA1EF0">
        <w:rPr>
          <w:rFonts w:ascii="Book Antiqua" w:hAnsi="Book Antiqua"/>
          <w:bCs/>
          <w:sz w:val="22"/>
          <w:szCs w:val="22"/>
          <w:lang w:val="en-GB"/>
        </w:rPr>
        <w:t xml:space="preserve"> </w:t>
      </w:r>
    </w:p>
    <w:p w:rsidR="008525FD" w:rsidRPr="003A4D13" w:rsidRDefault="008525FD" w:rsidP="008525FD">
      <w:pPr>
        <w:spacing w:line="276" w:lineRule="auto"/>
        <w:jc w:val="both"/>
        <w:rPr>
          <w:rFonts w:ascii="Book Antiqua" w:hAnsi="Book Antiqua"/>
          <w:bCs/>
          <w:lang w:val="en-GB"/>
        </w:rPr>
      </w:pPr>
      <w:r w:rsidRPr="003A4D13">
        <w:rPr>
          <w:rFonts w:ascii="Book Antiqua" w:hAnsi="Book Antiqua"/>
          <w:bCs/>
          <w:lang w:val="en-GB"/>
        </w:rPr>
        <w:t>Madam High Commissioner,</w:t>
      </w:r>
    </w:p>
    <w:p w:rsidR="008525FD" w:rsidRPr="00FA1EF0" w:rsidRDefault="008525FD" w:rsidP="008525FD">
      <w:pPr>
        <w:spacing w:line="276" w:lineRule="auto"/>
        <w:jc w:val="both"/>
        <w:rPr>
          <w:rFonts w:ascii="Book Antiqua" w:hAnsi="Book Antiqua"/>
          <w:bCs/>
          <w:lang w:val="en-GB"/>
        </w:rPr>
      </w:pPr>
      <w:r>
        <w:rPr>
          <w:rFonts w:ascii="Book Antiqua" w:hAnsi="Book Antiqua"/>
          <w:bCs/>
          <w:lang w:val="en-GB"/>
        </w:rPr>
        <w:t xml:space="preserve">In referring to para 68 </w:t>
      </w:r>
      <w:r w:rsidRPr="005D0A4C">
        <w:rPr>
          <w:rFonts w:ascii="Book Antiqua" w:hAnsi="Book Antiqua"/>
          <w:bCs/>
          <w:lang w:val="en-GB"/>
        </w:rPr>
        <w:t>(</w:t>
      </w:r>
      <w:r>
        <w:rPr>
          <w:rFonts w:ascii="Book Antiqua" w:hAnsi="Book Antiqua"/>
          <w:bCs/>
          <w:lang w:val="en-GB"/>
        </w:rPr>
        <w:t>C</w:t>
      </w:r>
      <w:r w:rsidRPr="005D0A4C">
        <w:rPr>
          <w:rFonts w:ascii="Book Antiqua" w:hAnsi="Book Antiqua"/>
          <w:bCs/>
          <w:lang w:val="en-GB"/>
        </w:rPr>
        <w:t xml:space="preserve">) </w:t>
      </w:r>
      <w:r>
        <w:rPr>
          <w:rFonts w:ascii="Book Antiqua" w:hAnsi="Book Antiqua"/>
          <w:bCs/>
          <w:lang w:val="en-GB"/>
        </w:rPr>
        <w:t xml:space="preserve">of the OHCHR Report </w:t>
      </w:r>
      <w:bookmarkStart w:id="4" w:name="_Hlk3912303"/>
      <w:r w:rsidRPr="00FA1EF0">
        <w:rPr>
          <w:rFonts w:ascii="Book Antiqua" w:hAnsi="Book Antiqua"/>
          <w:bCs/>
          <w:lang w:val="en-GB"/>
        </w:rPr>
        <w:t>(A</w:t>
      </w:r>
      <w:bookmarkStart w:id="5" w:name="_Hlk3912589"/>
      <w:r w:rsidRPr="00FA1EF0">
        <w:rPr>
          <w:rFonts w:ascii="Book Antiqua" w:hAnsi="Book Antiqua"/>
          <w:bCs/>
          <w:lang w:val="en-GB"/>
        </w:rPr>
        <w:t>/</w:t>
      </w:r>
      <w:bookmarkEnd w:id="5"/>
      <w:r w:rsidRPr="00FA1EF0">
        <w:rPr>
          <w:rFonts w:ascii="Book Antiqua" w:hAnsi="Book Antiqua"/>
          <w:bCs/>
          <w:lang w:val="en-GB"/>
        </w:rPr>
        <w:t>HRC/40/23)</w:t>
      </w:r>
      <w:r>
        <w:rPr>
          <w:rFonts w:ascii="Book Antiqua" w:hAnsi="Book Antiqua"/>
          <w:bCs/>
          <w:lang w:val="en-GB"/>
        </w:rPr>
        <w:t>, which pertains to the Recommendations to GOSL, to ‘</w:t>
      </w:r>
      <w:r w:rsidRPr="00FA1EF0">
        <w:rPr>
          <w:rFonts w:ascii="Book Antiqua" w:hAnsi="Book Antiqua"/>
          <w:bCs/>
          <w:i/>
          <w:lang w:val="en-GB"/>
        </w:rPr>
        <w:t>to adopt legislation establishing a hybrid court to investigate allegation of violating and abuses of international law and violations of international humanitarian law’</w:t>
      </w:r>
      <w:r>
        <w:rPr>
          <w:rFonts w:ascii="Book Antiqua" w:hAnsi="Book Antiqua"/>
          <w:bCs/>
          <w:lang w:val="en-GB"/>
        </w:rPr>
        <w:t xml:space="preserve">, I wish to make it clear that </w:t>
      </w:r>
      <w:r w:rsidRPr="0053384E">
        <w:rPr>
          <w:rFonts w:ascii="Book Antiqua" w:hAnsi="Book Antiqua"/>
          <w:bCs/>
          <w:lang w:val="en-GB"/>
        </w:rPr>
        <w:t>our posi</w:t>
      </w:r>
      <w:r w:rsidRPr="005F47A7">
        <w:rPr>
          <w:rFonts w:ascii="Book Antiqua" w:hAnsi="Book Antiqua"/>
          <w:bCs/>
          <w:lang w:val="en-GB"/>
        </w:rPr>
        <w:t>tion on this matter is as follows</w:t>
      </w:r>
      <w:r>
        <w:rPr>
          <w:rFonts w:ascii="Book Antiqua" w:hAnsi="Book Antiqua"/>
          <w:bCs/>
          <w:lang w:val="en-GB"/>
        </w:rPr>
        <w:t>’</w:t>
      </w:r>
      <w:bookmarkEnd w:id="4"/>
      <w:r>
        <w:rPr>
          <w:rFonts w:ascii="Book Antiqua" w:hAnsi="Book Antiqua"/>
          <w:bCs/>
          <w:lang w:val="en-GB"/>
        </w:rPr>
        <w:t>,</w:t>
      </w:r>
    </w:p>
    <w:p w:rsidR="008525FD" w:rsidRDefault="008525FD" w:rsidP="008525FD">
      <w:pPr>
        <w:spacing w:line="276" w:lineRule="auto"/>
        <w:jc w:val="both"/>
        <w:rPr>
          <w:rFonts w:ascii="Book Antiqua" w:hAnsi="Book Antiqua" w:cs="Tahoma"/>
        </w:rPr>
      </w:pPr>
      <w:r w:rsidRPr="00FA1EF0">
        <w:rPr>
          <w:rFonts w:ascii="Book Antiqua" w:hAnsi="Book Antiqua" w:cs="Tahoma"/>
        </w:rPr>
        <w:t xml:space="preserve">The Government of Sri Lanka at the highest political levels, has both publicly and in discussions with the present and former High Commissioner for Human Rights and other interlocutors, explained the constitutional and legal </w:t>
      </w:r>
      <w:r w:rsidRPr="0053384E">
        <w:rPr>
          <w:rFonts w:ascii="Book Antiqua" w:hAnsi="Book Antiqua" w:cs="Tahoma"/>
        </w:rPr>
        <w:t>challenges</w:t>
      </w:r>
      <w:r w:rsidRPr="00FA1EF0">
        <w:rPr>
          <w:rFonts w:ascii="Book Antiqua" w:hAnsi="Book Antiqua" w:cs="Tahoma"/>
        </w:rPr>
        <w:t xml:space="preserve"> that preclude it from including non-citizens in its judicial processes</w:t>
      </w:r>
      <w:r>
        <w:rPr>
          <w:rFonts w:ascii="Book Antiqua" w:hAnsi="Book Antiqua" w:cs="Tahoma"/>
        </w:rPr>
        <w:t>.</w:t>
      </w:r>
      <w:r w:rsidRPr="00FA1EF0">
        <w:rPr>
          <w:rFonts w:ascii="Book Antiqua" w:hAnsi="Book Antiqua" w:cs="Tahoma"/>
        </w:rPr>
        <w:t xml:space="preserve"> It has been explained that if non-citizen judges are to be appointed in such a process, </w:t>
      </w:r>
      <w:r>
        <w:rPr>
          <w:rFonts w:ascii="Book Antiqua" w:hAnsi="Book Antiqua" w:cs="Tahoma"/>
        </w:rPr>
        <w:t>it will not be possible without an amendment to the Constitution by 2</w:t>
      </w:r>
      <w:r w:rsidRPr="005D0A4C">
        <w:rPr>
          <w:rFonts w:ascii="Book Antiqua" w:hAnsi="Book Antiqua"/>
          <w:bCs/>
          <w:lang w:val="en-GB"/>
        </w:rPr>
        <w:t>/</w:t>
      </w:r>
      <w:r>
        <w:rPr>
          <w:rFonts w:ascii="Book Antiqua" w:hAnsi="Book Antiqua"/>
          <w:bCs/>
          <w:lang w:val="en-GB"/>
        </w:rPr>
        <w:t>3 of members of the Parliament voting in favour and also the approval of the people at a referendum.</w:t>
      </w:r>
    </w:p>
    <w:p w:rsidR="008525FD" w:rsidRPr="003A4D13" w:rsidRDefault="008525FD" w:rsidP="008525FD">
      <w:pPr>
        <w:spacing w:line="276" w:lineRule="auto"/>
        <w:jc w:val="both"/>
        <w:rPr>
          <w:rFonts w:ascii="Book Antiqua" w:hAnsi="Book Antiqua"/>
          <w:bCs/>
          <w:lang w:val="en-GB"/>
        </w:rPr>
      </w:pPr>
      <w:r>
        <w:rPr>
          <w:rFonts w:ascii="Book Antiqua" w:hAnsi="Book Antiqua" w:cs="Tahoma"/>
        </w:rPr>
        <w:t xml:space="preserve">In </w:t>
      </w:r>
      <w:r w:rsidRPr="003A4D13">
        <w:rPr>
          <w:rFonts w:ascii="Book Antiqua" w:hAnsi="Book Antiqua"/>
          <w:bCs/>
          <w:lang w:val="en-GB"/>
        </w:rPr>
        <w:t xml:space="preserve">this backdrop, while countries including the co-sponsors acknowledge these ground realities in conversations, these incongruities should be corrected in letter as well, and Sri Lanka should be encouraged and assisted in finding innovative and viable local </w:t>
      </w:r>
      <w:r w:rsidRPr="003A4D13">
        <w:rPr>
          <w:rFonts w:ascii="Book Antiqua" w:hAnsi="Book Antiqua"/>
          <w:lang w:val="en-GB"/>
        </w:rPr>
        <w:t xml:space="preserve">mechanisms and processes which incorporates international best practices, particularly at a time when as recently demonstrated our judicial, </w:t>
      </w:r>
      <w:r>
        <w:rPr>
          <w:rFonts w:ascii="Book Antiqua" w:hAnsi="Book Antiqua"/>
          <w:lang w:val="en-GB"/>
        </w:rPr>
        <w:t xml:space="preserve">public service </w:t>
      </w:r>
      <w:r w:rsidRPr="003A4D13">
        <w:rPr>
          <w:rFonts w:ascii="Book Antiqua" w:hAnsi="Book Antiqua"/>
          <w:lang w:val="en-GB"/>
        </w:rPr>
        <w:t xml:space="preserve"> and defence institutions have </w:t>
      </w:r>
      <w:r>
        <w:rPr>
          <w:rFonts w:ascii="Book Antiqua" w:hAnsi="Book Antiqua"/>
          <w:lang w:val="en-GB"/>
        </w:rPr>
        <w:t>shown</w:t>
      </w:r>
      <w:r w:rsidRPr="003A4D13">
        <w:rPr>
          <w:rFonts w:ascii="Book Antiqua" w:hAnsi="Book Antiqua"/>
          <w:lang w:val="en-GB"/>
        </w:rPr>
        <w:t xml:space="preserve"> independence, resilience, robustness and resolve. It is only then, that we will be able to bring closure to these events, which </w:t>
      </w:r>
      <w:r w:rsidRPr="003A4D13">
        <w:rPr>
          <w:rFonts w:ascii="Book Antiqua" w:hAnsi="Book Antiqua"/>
          <w:bCs/>
          <w:lang w:val="en-GB"/>
        </w:rPr>
        <w:t xml:space="preserve">would “enjoy the confidence of victims and society at large”, as referred to in the High Commissioner’s Report.  </w:t>
      </w:r>
    </w:p>
    <w:p w:rsidR="008525FD" w:rsidRDefault="008525FD" w:rsidP="008525FD">
      <w:pPr>
        <w:spacing w:line="276" w:lineRule="auto"/>
        <w:jc w:val="both"/>
        <w:rPr>
          <w:rFonts w:ascii="Book Antiqua" w:hAnsi="Book Antiqua"/>
          <w:lang w:val="en-GB"/>
        </w:rPr>
      </w:pPr>
      <w:r w:rsidRPr="003A4D13">
        <w:rPr>
          <w:rFonts w:ascii="Book Antiqua" w:hAnsi="Book Antiqua"/>
          <w:bCs/>
          <w:lang w:val="en-GB"/>
        </w:rPr>
        <w:t>We all are eager to see results. However, pressing for time bound benchmarks to show quick results on decades old, sensitive and complex</w:t>
      </w:r>
      <w:r>
        <w:rPr>
          <w:rFonts w:ascii="Book Antiqua" w:hAnsi="Book Antiqua"/>
          <w:bCs/>
          <w:lang w:val="en-GB"/>
        </w:rPr>
        <w:t xml:space="preserve"> issues</w:t>
      </w:r>
      <w:r w:rsidRPr="003A4D13">
        <w:rPr>
          <w:rFonts w:ascii="Book Antiqua" w:hAnsi="Book Antiqua"/>
          <w:bCs/>
          <w:lang w:val="en-GB"/>
        </w:rPr>
        <w:t xml:space="preserve">, is bound for failure. </w:t>
      </w:r>
      <w:r>
        <w:rPr>
          <w:rFonts w:ascii="Book Antiqua" w:hAnsi="Book Antiqua"/>
          <w:bCs/>
          <w:lang w:val="en-GB"/>
        </w:rPr>
        <w:t xml:space="preserve">As a sovereign state, </w:t>
      </w:r>
      <w:r w:rsidRPr="003A4D13">
        <w:rPr>
          <w:rFonts w:ascii="Book Antiqua" w:hAnsi="Book Antiqua"/>
          <w:bCs/>
          <w:lang w:val="en-GB"/>
        </w:rPr>
        <w:t xml:space="preserve">Sri Lanka must set its priorities in addressing the well-being and sustainable peace for her people, as a sovereign state. Various historical, cultural, and religious sensitivities therefore need to be managed while pursuing the ultimate objective of upholding and protecting human rights. </w:t>
      </w:r>
      <w:r w:rsidRPr="003A4D13">
        <w:rPr>
          <w:rFonts w:ascii="Book Antiqua" w:hAnsi="Book Antiqua"/>
          <w:lang w:val="en-GB"/>
        </w:rPr>
        <w:t xml:space="preserve">Sri Lanka’s engagement and close cooperation with this Council and with all other human rights mechanisms derive indeed from political will and pledges by the Government in 2015 to the people of Sri Lanka, to build the nation’s future guaranteeing equal rights, justice and dignity for all citizens respecting and celebrating the diversity of the nation as a united and prosperous </w:t>
      </w:r>
      <w:r>
        <w:rPr>
          <w:rFonts w:ascii="Book Antiqua" w:hAnsi="Book Antiqua"/>
          <w:lang w:val="en-GB"/>
        </w:rPr>
        <w:t>country.</w:t>
      </w:r>
      <w:r w:rsidRPr="003A4D13">
        <w:rPr>
          <w:rFonts w:ascii="Book Antiqua" w:hAnsi="Book Antiqua"/>
          <w:lang w:val="en-GB"/>
        </w:rPr>
        <w:t xml:space="preserve"> </w:t>
      </w:r>
    </w:p>
    <w:p w:rsidR="008525FD" w:rsidRPr="003A4D13" w:rsidRDefault="008525FD" w:rsidP="008525FD">
      <w:pPr>
        <w:spacing w:line="276" w:lineRule="auto"/>
        <w:jc w:val="both"/>
        <w:rPr>
          <w:rFonts w:ascii="Book Antiqua" w:hAnsi="Book Antiqua"/>
          <w:lang w:val="en-GB"/>
        </w:rPr>
      </w:pPr>
      <w:r w:rsidRPr="003A4D13">
        <w:rPr>
          <w:rFonts w:ascii="Book Antiqua" w:hAnsi="Book Antiqua"/>
          <w:bCs/>
          <w:lang w:val="en-GB"/>
        </w:rPr>
        <w:t>Madam High Commissioner</w:t>
      </w:r>
      <w:r w:rsidRPr="003A4D13">
        <w:rPr>
          <w:rFonts w:ascii="Book Antiqua" w:hAnsi="Book Antiqua"/>
          <w:lang w:val="en-GB"/>
        </w:rPr>
        <w:t>,</w:t>
      </w:r>
    </w:p>
    <w:p w:rsidR="008525FD" w:rsidRDefault="008525FD" w:rsidP="008525FD">
      <w:pPr>
        <w:spacing w:line="276" w:lineRule="auto"/>
        <w:jc w:val="both"/>
        <w:rPr>
          <w:rFonts w:ascii="Book Antiqua" w:hAnsi="Book Antiqua"/>
          <w:lang w:val="en-GB"/>
        </w:rPr>
      </w:pPr>
      <w:r w:rsidRPr="003A4D13">
        <w:rPr>
          <w:rFonts w:ascii="Book Antiqua" w:hAnsi="Book Antiqua"/>
          <w:lang w:val="en-GB"/>
        </w:rPr>
        <w:t xml:space="preserve">In developing these transitional justice mechanisms, Sri Lanka does not believe there is justification for the setting up of an Office of the High Commissioner for Human Rights in Sri Lanka. </w:t>
      </w:r>
    </w:p>
    <w:p w:rsidR="008525FD" w:rsidRPr="003A4D13" w:rsidRDefault="008525FD" w:rsidP="008525FD">
      <w:pPr>
        <w:spacing w:line="276" w:lineRule="auto"/>
        <w:jc w:val="both"/>
        <w:rPr>
          <w:rFonts w:ascii="Book Antiqua" w:hAnsi="Book Antiqua"/>
          <w:lang w:val="en-GB"/>
        </w:rPr>
      </w:pPr>
      <w:r>
        <w:rPr>
          <w:rFonts w:ascii="Book Antiqua" w:hAnsi="Book Antiqua"/>
          <w:lang w:val="en-GB"/>
        </w:rPr>
        <w:t xml:space="preserve">This said </w:t>
      </w:r>
      <w:r w:rsidRPr="003A4D13">
        <w:rPr>
          <w:rFonts w:ascii="Book Antiqua" w:hAnsi="Book Antiqua"/>
          <w:lang w:val="en-GB"/>
        </w:rPr>
        <w:t xml:space="preserve">we welcome the benefit extended by the expertise and support of the UN and OHCHR, and in particular technical assistance from the technical advisers of the Special Rapporteur on the promotion of truth, justice, reparation and guarantees of non-recurrence. We also appreciate the understanding shown and the technical and financial assistance offered by other bilateral and multilateral partners. We would also welcome further capacity building, particularly training for judicial, prosecutorial, and investigation officers, in enhancing specialized skills in their respective areas and further improving the functions and credibility of the ongoing local processes. </w:t>
      </w:r>
    </w:p>
    <w:p w:rsidR="008525FD" w:rsidRPr="003A4D13" w:rsidRDefault="008525FD" w:rsidP="008525FD">
      <w:pPr>
        <w:spacing w:line="276" w:lineRule="auto"/>
        <w:jc w:val="both"/>
        <w:rPr>
          <w:rFonts w:ascii="Book Antiqua" w:hAnsi="Book Antiqua"/>
          <w:lang w:val="en-GB"/>
        </w:rPr>
      </w:pPr>
      <w:r>
        <w:rPr>
          <w:rFonts w:ascii="Book Antiqua" w:hAnsi="Book Antiqua"/>
          <w:lang w:val="en-GB"/>
        </w:rPr>
        <w:t>The</w:t>
      </w:r>
      <w:r w:rsidRPr="003A4D13">
        <w:rPr>
          <w:rFonts w:ascii="Book Antiqua" w:hAnsi="Book Antiqua"/>
          <w:lang w:val="en-GB"/>
        </w:rPr>
        <w:t xml:space="preserve"> Government </w:t>
      </w:r>
      <w:r>
        <w:rPr>
          <w:rFonts w:ascii="Book Antiqua" w:hAnsi="Book Antiqua"/>
          <w:lang w:val="en-GB"/>
        </w:rPr>
        <w:t xml:space="preserve">of Sri Lanka </w:t>
      </w:r>
      <w:r w:rsidRPr="003A4D13">
        <w:rPr>
          <w:rFonts w:ascii="Book Antiqua" w:hAnsi="Book Antiqua"/>
          <w:lang w:val="en-GB"/>
        </w:rPr>
        <w:t xml:space="preserve">looks forward to continuing our engagement with the Office of the UN High Commissioner for Human Rights, UN Human Rights mechanisms and procedures, and working in close cooperation with the international community in our journey towards achieving civil, political as well as socio-economic and cultural rights, and consolidating durable peace and reconciliation for our people. </w:t>
      </w:r>
    </w:p>
    <w:p w:rsidR="008525FD" w:rsidRDefault="008525FD" w:rsidP="008525FD">
      <w:pPr>
        <w:spacing w:line="276" w:lineRule="auto"/>
      </w:pPr>
      <w:r w:rsidRPr="003A4D13">
        <w:rPr>
          <w:rFonts w:ascii="Book Antiqua" w:hAnsi="Book Antiqua"/>
          <w:lang w:val="en-GB"/>
        </w:rPr>
        <w:t>I thank you.</w:t>
      </w:r>
    </w:p>
    <w:sectPr w:rsidR="008525FD" w:rsidSect="006748CE">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BA" w:rsidRDefault="00CE4ABA" w:rsidP="008525FD">
      <w:pPr>
        <w:spacing w:after="0" w:line="240" w:lineRule="auto"/>
      </w:pPr>
      <w:r>
        <w:separator/>
      </w:r>
    </w:p>
  </w:endnote>
  <w:endnote w:type="continuationSeparator" w:id="0">
    <w:p w:rsidR="00CE4ABA" w:rsidRDefault="00CE4ABA" w:rsidP="0085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164567"/>
      <w:docPartObj>
        <w:docPartGallery w:val="Page Numbers (Bottom of Page)"/>
        <w:docPartUnique/>
      </w:docPartObj>
    </w:sdtPr>
    <w:sdtEndPr>
      <w:rPr>
        <w:noProof/>
      </w:rPr>
    </w:sdtEndPr>
    <w:sdtContent>
      <w:p w:rsidR="008525FD" w:rsidRDefault="008525FD">
        <w:pPr>
          <w:pStyle w:val="Footer"/>
          <w:jc w:val="right"/>
        </w:pPr>
        <w:r>
          <w:fldChar w:fldCharType="begin"/>
        </w:r>
        <w:r>
          <w:instrText xml:space="preserve"> PAGE   \* MERGEFORMAT </w:instrText>
        </w:r>
        <w:r>
          <w:fldChar w:fldCharType="separate"/>
        </w:r>
        <w:r w:rsidR="000C65D0">
          <w:rPr>
            <w:noProof/>
          </w:rPr>
          <w:t>1</w:t>
        </w:r>
        <w:r>
          <w:rPr>
            <w:noProof/>
          </w:rPr>
          <w:fldChar w:fldCharType="end"/>
        </w:r>
      </w:p>
    </w:sdtContent>
  </w:sdt>
  <w:p w:rsidR="008525FD" w:rsidRDefault="0085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BA" w:rsidRDefault="00CE4ABA" w:rsidP="008525FD">
      <w:pPr>
        <w:spacing w:after="0" w:line="240" w:lineRule="auto"/>
      </w:pPr>
      <w:r>
        <w:separator/>
      </w:r>
    </w:p>
  </w:footnote>
  <w:footnote w:type="continuationSeparator" w:id="0">
    <w:p w:rsidR="00CE4ABA" w:rsidRDefault="00CE4ABA" w:rsidP="008525FD">
      <w:pPr>
        <w:spacing w:after="0" w:line="240" w:lineRule="auto"/>
      </w:pPr>
      <w:r>
        <w:continuationSeparator/>
      </w:r>
    </w:p>
  </w:footnote>
  <w:footnote w:id="1">
    <w:p w:rsidR="008525FD" w:rsidRPr="00A40AD8" w:rsidRDefault="008525FD" w:rsidP="008525FD">
      <w:pPr>
        <w:spacing w:after="0" w:line="240" w:lineRule="auto"/>
        <w:rPr>
          <w:rFonts w:ascii="Arial" w:eastAsia="Times New Roman" w:hAnsi="Arial" w:cs="Arial"/>
          <w:color w:val="660099"/>
          <w:sz w:val="24"/>
          <w:szCs w:val="24"/>
          <w:u w:val="single"/>
          <w:shd w:val="clear" w:color="auto" w:fill="FFFFFF"/>
          <w:lang/>
        </w:rPr>
      </w:pPr>
      <w:r>
        <w:rPr>
          <w:rStyle w:val="FootnoteReference"/>
        </w:rPr>
        <w:footnoteRef/>
      </w:r>
      <w:r>
        <w:t xml:space="preserve"> </w:t>
      </w:r>
      <w:hyperlink r:id="rId1" w:tgtFrame="_blank" w:history="1">
        <w:r w:rsidRPr="009A168A">
          <w:rPr>
            <w:rStyle w:val="Hyperlink"/>
            <w:rFonts w:ascii="Book Antiqua" w:hAnsi="Book Antiqua" w:cs="Arial"/>
            <w:color w:val="1155CC"/>
            <w:sz w:val="18"/>
            <w:szCs w:val="18"/>
            <w:shd w:val="clear" w:color="auto" w:fill="FFFFFF"/>
          </w:rPr>
          <w:t>https://hansard.parliament.uk/Lords/2017-10-12/debates/14CAA83D-8895-4182-8C4F-D964E0A5B399/SriLanka</w:t>
        </w:r>
      </w:hyperlink>
      <w:r>
        <w:rPr>
          <w:rFonts w:ascii="Book Antiqua" w:hAnsi="Book Antiqua"/>
          <w:sz w:val="18"/>
          <w:szCs w:val="18"/>
        </w:rPr>
        <w:t>;</w:t>
      </w:r>
      <w:r w:rsidRPr="009749F9">
        <w:t xml:space="preserve"> </w:t>
      </w:r>
      <w:r w:rsidRPr="00A40AD8">
        <w:rPr>
          <w:rFonts w:ascii="Times New Roman" w:eastAsia="Times New Roman" w:hAnsi="Times New Roman" w:cs="Times New Roman"/>
          <w:sz w:val="24"/>
          <w:szCs w:val="24"/>
          <w:lang/>
        </w:rPr>
        <w:fldChar w:fldCharType="begin"/>
      </w:r>
      <w:r w:rsidRPr="00A40AD8">
        <w:rPr>
          <w:rFonts w:ascii="Times New Roman" w:eastAsia="Times New Roman" w:hAnsi="Times New Roman" w:cs="Times New Roman"/>
          <w:sz w:val="24"/>
          <w:szCs w:val="24"/>
          <w:lang/>
        </w:rPr>
        <w:instrText xml:space="preserve"> HYPERLINK "https://parliament.lk/uploads/documents/paperspresented/report-of-paranagama.pdf" </w:instrText>
      </w:r>
      <w:r w:rsidRPr="00A40AD8">
        <w:rPr>
          <w:rFonts w:ascii="Times New Roman" w:eastAsia="Times New Roman" w:hAnsi="Times New Roman" w:cs="Times New Roman"/>
          <w:sz w:val="24"/>
          <w:szCs w:val="24"/>
          <w:lang/>
        </w:rPr>
        <w:fldChar w:fldCharType="separate"/>
      </w:r>
    </w:p>
    <w:p w:rsidR="008525FD" w:rsidRPr="00FA1EF0" w:rsidRDefault="008525FD" w:rsidP="008525FD">
      <w:pPr>
        <w:spacing w:after="0" w:line="240" w:lineRule="auto"/>
        <w:rPr>
          <w:rStyle w:val="Hyperlink"/>
          <w:rFonts w:ascii="Book Antiqua" w:hAnsi="Book Antiqua"/>
          <w:sz w:val="18"/>
          <w:szCs w:val="18"/>
        </w:rPr>
      </w:pPr>
      <w:r w:rsidRPr="00FA1EF0">
        <w:rPr>
          <w:rStyle w:val="Hyperlink"/>
          <w:rFonts w:ascii="Book Antiqua" w:hAnsi="Book Antiqua"/>
          <w:sz w:val="18"/>
          <w:szCs w:val="18"/>
        </w:rPr>
        <w:t>https://parliament.lk/uploads/documents/paperspresented/report-of-paranagama.pdf</w:t>
      </w:r>
    </w:p>
    <w:p w:rsidR="008525FD" w:rsidRDefault="008525FD" w:rsidP="008525FD">
      <w:pPr>
        <w:pStyle w:val="FootnoteText"/>
        <w:rPr>
          <w:rFonts w:ascii="Book Antiqua" w:hAnsi="Book Antiqua"/>
          <w:sz w:val="18"/>
          <w:szCs w:val="18"/>
        </w:rPr>
      </w:pPr>
      <w:r w:rsidRPr="00A40AD8">
        <w:rPr>
          <w:rFonts w:ascii="Times New Roman" w:eastAsia="Times New Roman" w:hAnsi="Times New Roman" w:cs="Times New Roman"/>
          <w:sz w:val="24"/>
          <w:szCs w:val="24"/>
          <w:lang w:bidi="ar-SA"/>
        </w:rPr>
        <w:fldChar w:fldCharType="end"/>
      </w:r>
      <w:r>
        <w:rPr>
          <w:rFonts w:ascii="Book Antiqua" w:hAnsi="Book Antiqua"/>
          <w:sz w:val="18"/>
          <w:szCs w:val="18"/>
        </w:rPr>
        <w:t xml:space="preserve"> </w:t>
      </w:r>
      <w:hyperlink r:id="rId2" w:history="1">
        <w:r w:rsidRPr="00FD20A0">
          <w:rPr>
            <w:rStyle w:val="Hyperlink"/>
            <w:rFonts w:ascii="Book Antiqua" w:hAnsi="Book Antiqua"/>
            <w:sz w:val="18"/>
            <w:szCs w:val="18"/>
          </w:rPr>
          <w:t>http://margastorehouse.org/The%20Last%20Stages%20of%20the%20war%20in%20Sri%20Lanka.pdf</w:t>
        </w:r>
      </w:hyperlink>
      <w:r>
        <w:rPr>
          <w:rFonts w:ascii="Book Antiqua" w:hAnsi="Book Antiqua"/>
          <w:sz w:val="18"/>
          <w:szCs w:val="18"/>
        </w:rPr>
        <w:t>;</w:t>
      </w:r>
    </w:p>
    <w:p w:rsidR="008525FD" w:rsidRDefault="008525FD" w:rsidP="008525FD">
      <w:pPr>
        <w:pStyle w:val="FootnoteText"/>
        <w:rPr>
          <w:rFonts w:ascii="Book Antiqua" w:hAnsi="Book Antiqua"/>
          <w:sz w:val="18"/>
          <w:szCs w:val="18"/>
        </w:rPr>
      </w:pPr>
    </w:p>
    <w:p w:rsidR="008525FD" w:rsidRDefault="008525FD" w:rsidP="008525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1D06"/>
    <w:multiLevelType w:val="hybridMultilevel"/>
    <w:tmpl w:val="FC6AF230"/>
    <w:lvl w:ilvl="0" w:tplc="4E6AA40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CE"/>
    <w:rsid w:val="000C65D0"/>
    <w:rsid w:val="003468AF"/>
    <w:rsid w:val="004E2CA5"/>
    <w:rsid w:val="006748CE"/>
    <w:rsid w:val="008525FD"/>
    <w:rsid w:val="00CE4ABA"/>
    <w:rsid w:val="00CF5CD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56153-1ABB-4729-9C1D-86DA5C06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C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25FD"/>
    <w:pPr>
      <w:spacing w:after="0" w:line="240" w:lineRule="auto"/>
      <w:ind w:left="720"/>
      <w:contextualSpacing/>
    </w:pPr>
    <w:rPr>
      <w:rFonts w:ascii="Times New Roman" w:eastAsia="Times New Roman" w:hAnsi="Times New Roman" w:cs="Times New Roman"/>
      <w:sz w:val="24"/>
      <w:szCs w:val="24"/>
      <w:lang w:val="de-CH" w:eastAsia="de-CH"/>
    </w:rPr>
  </w:style>
  <w:style w:type="character" w:styleId="Hyperlink">
    <w:name w:val="Hyperlink"/>
    <w:uiPriority w:val="99"/>
    <w:unhideWhenUsed/>
    <w:rsid w:val="008525FD"/>
    <w:rPr>
      <w:color w:val="0563C1"/>
      <w:u w:val="single"/>
    </w:rPr>
  </w:style>
  <w:style w:type="paragraph" w:styleId="NoSpacing">
    <w:name w:val="No Spacing"/>
    <w:uiPriority w:val="1"/>
    <w:qFormat/>
    <w:rsid w:val="008525FD"/>
    <w:pPr>
      <w:spacing w:after="0" w:line="240" w:lineRule="auto"/>
    </w:pPr>
    <w:rPr>
      <w:rFonts w:ascii="Calibri" w:eastAsia="Calibri" w:hAnsi="Calibri" w:cs="Iskoola Pota"/>
      <w:sz w:val="22"/>
      <w:lang w:bidi="si-LK"/>
    </w:rPr>
  </w:style>
  <w:style w:type="paragraph" w:styleId="FootnoteText">
    <w:name w:val="footnote text"/>
    <w:basedOn w:val="Normal"/>
    <w:link w:val="FootnoteTextChar"/>
    <w:uiPriority w:val="99"/>
    <w:semiHidden/>
    <w:unhideWhenUsed/>
    <w:rsid w:val="008525FD"/>
    <w:rPr>
      <w:rFonts w:ascii="Calibri" w:eastAsia="Calibri" w:hAnsi="Calibri" w:cs="Latha"/>
      <w:sz w:val="20"/>
      <w:szCs w:val="20"/>
      <w:lang w:bidi="ta-IN"/>
    </w:rPr>
  </w:style>
  <w:style w:type="character" w:customStyle="1" w:styleId="FootnoteTextChar">
    <w:name w:val="Footnote Text Char"/>
    <w:basedOn w:val="DefaultParagraphFont"/>
    <w:link w:val="FootnoteText"/>
    <w:uiPriority w:val="99"/>
    <w:semiHidden/>
    <w:rsid w:val="008525FD"/>
    <w:rPr>
      <w:rFonts w:ascii="Calibri" w:eastAsia="Calibri" w:hAnsi="Calibri" w:cs="Latha"/>
      <w:sz w:val="20"/>
      <w:szCs w:val="20"/>
      <w:lang w:bidi="ta-IN"/>
    </w:rPr>
  </w:style>
  <w:style w:type="character" w:styleId="FootnoteReference">
    <w:name w:val="footnote reference"/>
    <w:uiPriority w:val="99"/>
    <w:semiHidden/>
    <w:unhideWhenUsed/>
    <w:rsid w:val="008525FD"/>
    <w:rPr>
      <w:vertAlign w:val="superscript"/>
    </w:rPr>
  </w:style>
  <w:style w:type="paragraph" w:styleId="Header">
    <w:name w:val="header"/>
    <w:basedOn w:val="Normal"/>
    <w:link w:val="HeaderChar"/>
    <w:uiPriority w:val="99"/>
    <w:unhideWhenUsed/>
    <w:rsid w:val="0085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FD"/>
    <w:rPr>
      <w:rFonts w:asciiTheme="minorHAnsi" w:hAnsiTheme="minorHAnsi" w:cstheme="minorBidi"/>
      <w:sz w:val="22"/>
    </w:rPr>
  </w:style>
  <w:style w:type="paragraph" w:styleId="Footer">
    <w:name w:val="footer"/>
    <w:basedOn w:val="Normal"/>
    <w:link w:val="FooterChar"/>
    <w:uiPriority w:val="99"/>
    <w:unhideWhenUsed/>
    <w:rsid w:val="0085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5FD"/>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argastorehouse.org/The%20Last%20Stages%20of%20the%20war%20in%20Sri%20Lanka.pdf" TargetMode="External"/><Relationship Id="rId1" Type="http://schemas.openxmlformats.org/officeDocument/2006/relationships/hyperlink" Target="https://hansard.parliament.uk/Lords/2017-10-12/debates/14CAA83D-8895-4182-8C4F-D964E0A5B399/SriL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00CA1-2C2C-4116-8E38-87ACF84E7F93}"/>
</file>

<file path=customXml/itemProps2.xml><?xml version="1.0" encoding="utf-8"?>
<ds:datastoreItem xmlns:ds="http://schemas.openxmlformats.org/officeDocument/2006/customXml" ds:itemID="{34BCF175-B3B9-450D-B1A4-D59347C387ED}"/>
</file>

<file path=customXml/itemProps3.xml><?xml version="1.0" encoding="utf-8"?>
<ds:datastoreItem xmlns:ds="http://schemas.openxmlformats.org/officeDocument/2006/customXml" ds:itemID="{F0FEAB26-F4E0-4D08-B8A7-036590639E8A}"/>
</file>

<file path=docProps/app.xml><?xml version="1.0" encoding="utf-8"?>
<Properties xmlns="http://schemas.openxmlformats.org/officeDocument/2006/extended-properties" xmlns:vt="http://schemas.openxmlformats.org/officeDocument/2006/docPropsVTypes">
  <Template>Normal.dotm</Template>
  <TotalTime>1</TotalTime>
  <Pages>12</Pages>
  <Words>3744</Words>
  <Characters>21347</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UNEP/BRS</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Lanka Mission in Geneva</dc:creator>
  <cp:keywords/>
  <dc:description/>
  <cp:lastModifiedBy>RADOVIC Gala</cp:lastModifiedBy>
  <cp:revision>2</cp:revision>
  <dcterms:created xsi:type="dcterms:W3CDTF">2019-03-20T10:04:00Z</dcterms:created>
  <dcterms:modified xsi:type="dcterms:W3CDTF">2019-03-20T10:04:00Z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