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4A3CF0" w:rsidP="00AE2C85">
            <w:pPr>
              <w:jc w:val="right"/>
            </w:pPr>
            <w:r w:rsidRPr="004A3CF0">
              <w:rPr>
                <w:sz w:val="40"/>
              </w:rPr>
              <w:t>A</w:t>
            </w:r>
            <w:r>
              <w:t>/HRC/</w:t>
            </w:r>
            <w:r w:rsidR="00AE2C85">
              <w:t>40</w:t>
            </w:r>
            <w:r>
              <w:t>/L.</w:t>
            </w:r>
            <w:r w:rsidR="00113DEC">
              <w:t>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654BD9" w:rsidP="00562621">
            <w:pPr>
              <w:spacing w:before="120"/>
              <w:jc w:val="center"/>
            </w:pPr>
            <w:r>
              <w:rPr>
                <w:noProof/>
                <w:lang w:eastAsia="zh-CN"/>
              </w:rPr>
              <w:drawing>
                <wp:inline distT="0" distB="0" distL="0" distR="0">
                  <wp:extent cx="714375" cy="590550"/>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4A3CF0" w:rsidP="004A3CF0">
            <w:pPr>
              <w:spacing w:before="240" w:line="240" w:lineRule="exact"/>
            </w:pPr>
            <w:r>
              <w:t xml:space="preserve">Distr.: </w:t>
            </w:r>
            <w:r w:rsidR="006F1FF8">
              <w:t>Limited</w:t>
            </w:r>
          </w:p>
          <w:p w:rsidR="004A3CF0" w:rsidRDefault="00113DEC" w:rsidP="004A3CF0">
            <w:pPr>
              <w:spacing w:line="240" w:lineRule="exact"/>
            </w:pPr>
            <w:r>
              <w:t>1</w:t>
            </w:r>
            <w:r w:rsidR="004B796A">
              <w:t>3</w:t>
            </w:r>
            <w:r w:rsidR="00AE2C85">
              <w:t xml:space="preserve"> March 2019</w:t>
            </w:r>
          </w:p>
          <w:p w:rsidR="004A3CF0" w:rsidRDefault="004A3CF0" w:rsidP="004A3CF0">
            <w:pPr>
              <w:spacing w:line="240" w:lineRule="exact"/>
            </w:pPr>
          </w:p>
          <w:p w:rsidR="004A3CF0" w:rsidRDefault="004A3CF0" w:rsidP="004A3CF0">
            <w:pPr>
              <w:spacing w:line="240" w:lineRule="exact"/>
            </w:pPr>
            <w:r>
              <w:t>Original: English</w:t>
            </w:r>
          </w:p>
        </w:tc>
      </w:tr>
    </w:tbl>
    <w:p w:rsidR="004A3CF0" w:rsidRPr="004A3CF0" w:rsidRDefault="004A3CF0" w:rsidP="004A3CF0">
      <w:pPr>
        <w:spacing w:before="120"/>
        <w:rPr>
          <w:b/>
          <w:sz w:val="24"/>
          <w:szCs w:val="24"/>
        </w:rPr>
      </w:pPr>
      <w:r w:rsidRPr="004A3CF0">
        <w:rPr>
          <w:b/>
          <w:sz w:val="24"/>
          <w:szCs w:val="24"/>
        </w:rPr>
        <w:t>Human Rights Council</w:t>
      </w:r>
    </w:p>
    <w:p w:rsidR="004A3CF0" w:rsidRPr="004A3CF0" w:rsidRDefault="00AE2C85" w:rsidP="004A3CF0">
      <w:pPr>
        <w:rPr>
          <w:b/>
        </w:rPr>
      </w:pPr>
      <w:r>
        <w:rPr>
          <w:b/>
        </w:rPr>
        <w:t>Fort</w:t>
      </w:r>
      <w:r w:rsidR="00876690">
        <w:rPr>
          <w:b/>
        </w:rPr>
        <w:t>ieth</w:t>
      </w:r>
      <w:r w:rsidR="004A3CF0" w:rsidRPr="004A3CF0">
        <w:rPr>
          <w:b/>
        </w:rPr>
        <w:t xml:space="preserve"> session</w:t>
      </w:r>
    </w:p>
    <w:p w:rsidR="004A3CF0" w:rsidRPr="004A3CF0" w:rsidRDefault="00AE2C85" w:rsidP="004A3CF0">
      <w:r>
        <w:t>25 February–22 March 2019</w:t>
      </w:r>
    </w:p>
    <w:p w:rsidR="004A3CF0" w:rsidRPr="004A3CF0" w:rsidRDefault="004A3CF0" w:rsidP="004A3CF0">
      <w:r w:rsidRPr="004A3CF0">
        <w:t>Agenda item 2</w:t>
      </w:r>
    </w:p>
    <w:p w:rsidR="004A3CF0" w:rsidRPr="004A3CF0" w:rsidRDefault="004A3CF0" w:rsidP="004A3CF0">
      <w:pPr>
        <w:rPr>
          <w:b/>
        </w:rPr>
      </w:pPr>
      <w:r w:rsidRPr="004A3CF0">
        <w:rPr>
          <w:b/>
        </w:rPr>
        <w:t>Annual report of the United Nations High Commissioner</w:t>
      </w:r>
      <w:r w:rsidRPr="004A3CF0">
        <w:rPr>
          <w:b/>
        </w:rPr>
        <w:br/>
        <w:t xml:space="preserve">for Human Rights and reports of the Office of the </w:t>
      </w:r>
      <w:r w:rsidRPr="004A3CF0">
        <w:rPr>
          <w:b/>
        </w:rPr>
        <w:br/>
        <w:t>High Commissioner and the Secretary-General</w:t>
      </w:r>
    </w:p>
    <w:p w:rsidR="004A3CF0" w:rsidRPr="004A3CF0" w:rsidRDefault="004A3CF0" w:rsidP="00BB6835">
      <w:pPr>
        <w:keepNext/>
        <w:keepLines/>
        <w:tabs>
          <w:tab w:val="right" w:pos="851"/>
        </w:tabs>
        <w:spacing w:before="240" w:after="120" w:line="240" w:lineRule="exact"/>
        <w:ind w:left="1134" w:right="1134" w:hanging="1134"/>
        <w:rPr>
          <w:b/>
        </w:rPr>
      </w:pPr>
      <w:r w:rsidRPr="004A3CF0">
        <w:rPr>
          <w:b/>
        </w:rPr>
        <w:tab/>
      </w:r>
      <w:r w:rsidRPr="004A3CF0">
        <w:rPr>
          <w:b/>
        </w:rPr>
        <w:tab/>
      </w:r>
      <w:r w:rsidR="00DA349F">
        <w:rPr>
          <w:b/>
        </w:rPr>
        <w:t xml:space="preserve">Albania,* </w:t>
      </w:r>
      <w:r w:rsidR="00113DEC">
        <w:rPr>
          <w:b/>
        </w:rPr>
        <w:t xml:space="preserve">Australia, Austria, Belgium,* </w:t>
      </w:r>
      <w:r w:rsidR="00785FA3">
        <w:rPr>
          <w:b/>
        </w:rPr>
        <w:t xml:space="preserve">Bulgaria, </w:t>
      </w:r>
      <w:r w:rsidR="00113DEC">
        <w:rPr>
          <w:b/>
        </w:rPr>
        <w:t>Canada,</w:t>
      </w:r>
      <w:r w:rsidR="00113DEC" w:rsidRPr="00113DEC">
        <w:rPr>
          <w:rStyle w:val="FootnoteReference"/>
          <w:b/>
          <w:sz w:val="20"/>
          <w:vertAlign w:val="baseline"/>
        </w:rPr>
        <w:footnoteReference w:customMarkFollows="1" w:id="2"/>
        <w:t>*</w:t>
      </w:r>
      <w:r w:rsidR="00113DEC">
        <w:rPr>
          <w:b/>
        </w:rPr>
        <w:t xml:space="preserve"> </w:t>
      </w:r>
      <w:r w:rsidR="00785FA3">
        <w:rPr>
          <w:b/>
        </w:rPr>
        <w:t xml:space="preserve">Croatia, </w:t>
      </w:r>
      <w:r w:rsidR="00DA349F">
        <w:rPr>
          <w:b/>
        </w:rPr>
        <w:t xml:space="preserve">Czechia, </w:t>
      </w:r>
      <w:r w:rsidR="00327752">
        <w:rPr>
          <w:b/>
        </w:rPr>
        <w:t xml:space="preserve">Denmark, </w:t>
      </w:r>
      <w:r w:rsidR="00113DEC">
        <w:rPr>
          <w:b/>
        </w:rPr>
        <w:t xml:space="preserve">Finland,* </w:t>
      </w:r>
      <w:r w:rsidR="00DA349F">
        <w:rPr>
          <w:b/>
        </w:rPr>
        <w:t xml:space="preserve">France,* </w:t>
      </w:r>
      <w:r w:rsidR="00BB6835" w:rsidRPr="00BB6835">
        <w:rPr>
          <w:b/>
        </w:rPr>
        <w:t xml:space="preserve">Georgia,* </w:t>
      </w:r>
      <w:r w:rsidR="00113DEC">
        <w:rPr>
          <w:b/>
        </w:rPr>
        <w:t xml:space="preserve">Germany,* </w:t>
      </w:r>
      <w:r w:rsidR="00DA349F">
        <w:rPr>
          <w:b/>
        </w:rPr>
        <w:t xml:space="preserve">Greece,* Iceland, Ireland,* </w:t>
      </w:r>
      <w:r w:rsidR="00327752">
        <w:rPr>
          <w:b/>
        </w:rPr>
        <w:t xml:space="preserve">Italy, </w:t>
      </w:r>
      <w:r w:rsidR="00B63903">
        <w:rPr>
          <w:b/>
        </w:rPr>
        <w:t xml:space="preserve">Luxembourg,* </w:t>
      </w:r>
      <w:r w:rsidR="00785FA3">
        <w:rPr>
          <w:b/>
        </w:rPr>
        <w:t xml:space="preserve">Malta,* </w:t>
      </w:r>
      <w:r w:rsidR="00113DEC">
        <w:rPr>
          <w:b/>
        </w:rPr>
        <w:t xml:space="preserve">Montenegro,* Netherlands,* New Zealand,* North Macedonia,* Norway,* </w:t>
      </w:r>
      <w:r w:rsidR="00DA349F">
        <w:rPr>
          <w:b/>
        </w:rPr>
        <w:t xml:space="preserve">Poland,* </w:t>
      </w:r>
      <w:r w:rsidR="00785FA3">
        <w:rPr>
          <w:b/>
        </w:rPr>
        <w:t xml:space="preserve">Romania,* </w:t>
      </w:r>
      <w:r w:rsidR="00113DEC">
        <w:rPr>
          <w:b/>
        </w:rPr>
        <w:t xml:space="preserve">San Marino,* </w:t>
      </w:r>
      <w:r w:rsidR="00DA349F">
        <w:rPr>
          <w:b/>
        </w:rPr>
        <w:t xml:space="preserve">Slovakia, </w:t>
      </w:r>
      <w:r w:rsidR="00113DEC">
        <w:rPr>
          <w:b/>
        </w:rPr>
        <w:t>Sri Lanka,* Sweden,* United Kingdom of Great Britain and Northern Ireland</w:t>
      </w:r>
      <w:r w:rsidRPr="004A3CF0">
        <w:rPr>
          <w:b/>
        </w:rPr>
        <w:t>: draft resolution</w:t>
      </w:r>
    </w:p>
    <w:p w:rsidR="004A3CF0" w:rsidRPr="004A3CF0" w:rsidRDefault="00AE2C85" w:rsidP="004A3CF0">
      <w:pPr>
        <w:keepNext/>
        <w:keepLines/>
        <w:spacing w:before="360" w:after="240" w:line="270" w:lineRule="exact"/>
        <w:ind w:left="1843" w:right="1134" w:hanging="709"/>
        <w:rPr>
          <w:b/>
          <w:sz w:val="24"/>
        </w:rPr>
      </w:pPr>
      <w:r>
        <w:rPr>
          <w:b/>
          <w:sz w:val="24"/>
        </w:rPr>
        <w:t>40</w:t>
      </w:r>
      <w:r w:rsidR="004A3CF0" w:rsidRPr="004A3CF0">
        <w:rPr>
          <w:b/>
          <w:sz w:val="24"/>
        </w:rPr>
        <w:t>/…</w:t>
      </w:r>
      <w:r w:rsidR="004A3CF0" w:rsidRPr="004A3CF0">
        <w:rPr>
          <w:b/>
          <w:sz w:val="24"/>
        </w:rPr>
        <w:tab/>
      </w:r>
      <w:r w:rsidR="00113DEC" w:rsidRPr="00113DEC">
        <w:rPr>
          <w:b/>
          <w:bCs/>
          <w:sz w:val="24"/>
        </w:rPr>
        <w:t>Promoting reconciliation, accountability and human rights in Sri Lanka</w:t>
      </w:r>
    </w:p>
    <w:p w:rsidR="004A3CF0" w:rsidRDefault="004A3CF0" w:rsidP="00CD750B">
      <w:pPr>
        <w:spacing w:after="120"/>
        <w:ind w:left="1134" w:right="1134"/>
        <w:jc w:val="both"/>
      </w:pPr>
      <w:r w:rsidRPr="004A3CF0">
        <w:tab/>
      </w:r>
      <w:bookmarkStart w:id="0" w:name="_GoBack"/>
      <w:bookmarkEnd w:id="0"/>
      <w:r w:rsidRPr="004A3CF0">
        <w:rPr>
          <w:i/>
        </w:rPr>
        <w:t>The Human Rights Council</w:t>
      </w:r>
      <w:r w:rsidRPr="004A3CF0">
        <w:t>,</w:t>
      </w:r>
    </w:p>
    <w:p w:rsidR="00113DEC" w:rsidRPr="00113DEC" w:rsidRDefault="00113DEC" w:rsidP="00113DEC">
      <w:pPr>
        <w:pStyle w:val="SingleTxtG"/>
        <w:ind w:firstLine="567"/>
      </w:pPr>
      <w:r w:rsidRPr="00113DEC">
        <w:rPr>
          <w:i/>
          <w:iCs/>
        </w:rPr>
        <w:t xml:space="preserve">Reaffirming </w:t>
      </w:r>
      <w:r w:rsidRPr="00113DEC">
        <w:t>the purposes and principles of the</w:t>
      </w:r>
      <w:r>
        <w:t xml:space="preserve"> Charter of the United Nations,</w:t>
      </w:r>
    </w:p>
    <w:p w:rsidR="00113DEC" w:rsidRPr="00113DEC" w:rsidRDefault="00113DEC" w:rsidP="00113DEC">
      <w:pPr>
        <w:pStyle w:val="SingleTxtG"/>
        <w:ind w:firstLine="567"/>
      </w:pPr>
      <w:r w:rsidRPr="00113DEC">
        <w:rPr>
          <w:i/>
          <w:iCs/>
        </w:rPr>
        <w:t xml:space="preserve">Guided </w:t>
      </w:r>
      <w:r w:rsidRPr="00113DEC">
        <w:t xml:space="preserve">by the Universal Declaration of Human Rights, the International Covenants on Human Rights </w:t>
      </w:r>
      <w:r>
        <w:t>and other relevant instruments,</w:t>
      </w:r>
    </w:p>
    <w:p w:rsidR="00113DEC" w:rsidRPr="00113DEC" w:rsidRDefault="00113DEC" w:rsidP="00113DEC">
      <w:pPr>
        <w:pStyle w:val="SingleTxtG"/>
        <w:ind w:firstLine="567"/>
      </w:pPr>
      <w:r w:rsidRPr="00113DEC">
        <w:rPr>
          <w:i/>
          <w:iCs/>
        </w:rPr>
        <w:t xml:space="preserve">Reaffirming </w:t>
      </w:r>
      <w:r w:rsidRPr="00113DEC">
        <w:t>Human Rights Council resolutions 30/1 of 1 October 2015 and 34/1 of 23 March 2017 on promoting reconciliation, accountability</w:t>
      </w:r>
      <w:r>
        <w:t xml:space="preserve"> and human rights in Sri Lanka,</w:t>
      </w:r>
    </w:p>
    <w:p w:rsidR="00113DEC" w:rsidRPr="00113DEC" w:rsidRDefault="00113DEC" w:rsidP="00113DEC">
      <w:pPr>
        <w:pStyle w:val="SingleTxtG"/>
        <w:ind w:firstLine="567"/>
      </w:pPr>
      <w:r w:rsidRPr="00113DEC">
        <w:rPr>
          <w:i/>
          <w:iCs/>
        </w:rPr>
        <w:t xml:space="preserve">Recalling </w:t>
      </w:r>
      <w:r w:rsidRPr="00113DEC">
        <w:t xml:space="preserve">Human Rights Council resolutions 19/2 of 22 March 2012, 22/1 of 21 March </w:t>
      </w:r>
      <w:r>
        <w:t>2013 and 25/1 of 27 March 2014,</w:t>
      </w:r>
    </w:p>
    <w:p w:rsidR="00113DEC" w:rsidRPr="00113DEC" w:rsidRDefault="00113DEC" w:rsidP="00113DEC">
      <w:pPr>
        <w:pStyle w:val="SingleTxtG"/>
        <w:ind w:firstLine="567"/>
      </w:pPr>
      <w:r w:rsidRPr="00113DEC">
        <w:rPr>
          <w:i/>
          <w:iCs/>
        </w:rPr>
        <w:t xml:space="preserve">Reaffirming </w:t>
      </w:r>
      <w:r w:rsidRPr="00113DEC">
        <w:t>that it is the responsibility of each State to ensure the full enjoyment of all human rights and fundamental freedoms of its entire population,</w:t>
      </w:r>
    </w:p>
    <w:p w:rsidR="00113DEC" w:rsidRPr="00113DEC" w:rsidRDefault="00113DEC" w:rsidP="00113DEC">
      <w:pPr>
        <w:pStyle w:val="SingleTxtG"/>
        <w:ind w:firstLine="567"/>
      </w:pPr>
      <w:r w:rsidRPr="00113DEC">
        <w:rPr>
          <w:i/>
          <w:iCs/>
        </w:rPr>
        <w:t xml:space="preserve">Reaffirming also </w:t>
      </w:r>
      <w:r w:rsidRPr="00113DEC">
        <w:t>its commitment to the sovereignty, independence, unity and terr</w:t>
      </w:r>
      <w:r>
        <w:t>itorial integrity of Sri Lanka,</w:t>
      </w:r>
    </w:p>
    <w:p w:rsidR="00113DEC" w:rsidRPr="00113DEC" w:rsidRDefault="00113DEC" w:rsidP="00153738">
      <w:pPr>
        <w:pStyle w:val="SingleTxtG"/>
        <w:ind w:firstLine="567"/>
      </w:pPr>
      <w:r w:rsidRPr="00113DEC">
        <w:rPr>
          <w:i/>
        </w:rPr>
        <w:t>Recogni</w:t>
      </w:r>
      <w:r w:rsidR="00153738">
        <w:rPr>
          <w:i/>
        </w:rPr>
        <w:t>z</w:t>
      </w:r>
      <w:r w:rsidRPr="00113DEC">
        <w:rPr>
          <w:i/>
        </w:rPr>
        <w:t xml:space="preserve">ing </w:t>
      </w:r>
      <w:r w:rsidRPr="00F56D0A">
        <w:rPr>
          <w:iCs/>
        </w:rPr>
        <w:t>the strong role</w:t>
      </w:r>
      <w:r w:rsidRPr="00113DEC">
        <w:rPr>
          <w:i/>
        </w:rPr>
        <w:t xml:space="preserve"> </w:t>
      </w:r>
      <w:r w:rsidRPr="00113DEC">
        <w:t xml:space="preserve">played by democratic institutions </w:t>
      </w:r>
      <w:r w:rsidR="00153738">
        <w:t xml:space="preserve">in </w:t>
      </w:r>
      <w:r w:rsidR="00153738" w:rsidRPr="00113DEC">
        <w:t xml:space="preserve">Sri Lanka </w:t>
      </w:r>
      <w:r w:rsidRPr="00113DEC">
        <w:t>in the peaceful resolution of the political situation that arose in Sri Lanka from October to December 2018,</w:t>
      </w:r>
    </w:p>
    <w:p w:rsidR="00113DEC" w:rsidRPr="00113DEC" w:rsidRDefault="00113DEC" w:rsidP="00153738">
      <w:pPr>
        <w:pStyle w:val="SingleTxtG"/>
        <w:ind w:firstLine="567"/>
      </w:pPr>
      <w:r w:rsidRPr="00113DEC">
        <w:rPr>
          <w:i/>
        </w:rPr>
        <w:t>Welcoming</w:t>
      </w:r>
      <w:r w:rsidRPr="00113DEC">
        <w:t xml:space="preserve"> the establishment of the Office on Missing Persons in September 2017 and the appointment of its </w:t>
      </w:r>
      <w:r w:rsidR="00153738">
        <w:t>c</w:t>
      </w:r>
      <w:r w:rsidRPr="00113DEC">
        <w:t>ommissioners in February 2018</w:t>
      </w:r>
      <w:r w:rsidR="00153738">
        <w:t>,</w:t>
      </w:r>
      <w:r w:rsidRPr="00113DEC">
        <w:t xml:space="preserve"> and the assumption of its work to fully implement its mandate,</w:t>
      </w:r>
    </w:p>
    <w:p w:rsidR="00113DEC" w:rsidRPr="00113DEC" w:rsidRDefault="00113DEC" w:rsidP="00DD404A">
      <w:pPr>
        <w:pStyle w:val="SingleTxtG"/>
        <w:ind w:firstLine="567"/>
      </w:pPr>
      <w:r w:rsidRPr="00113DEC">
        <w:rPr>
          <w:i/>
          <w:iCs/>
        </w:rPr>
        <w:lastRenderedPageBreak/>
        <w:t xml:space="preserve">Welcoming also </w:t>
      </w:r>
      <w:r w:rsidRPr="00113DEC">
        <w:t xml:space="preserve">the visits made by the Special Rapporteur on </w:t>
      </w:r>
      <w:r w:rsidR="00DD404A">
        <w:t xml:space="preserve">the promotion and protection of </w:t>
      </w:r>
      <w:r w:rsidRPr="00113DEC">
        <w:t xml:space="preserve">human rights </w:t>
      </w:r>
      <w:r w:rsidR="00DD404A">
        <w:t xml:space="preserve">while </w:t>
      </w:r>
      <w:r w:rsidRPr="00113DEC">
        <w:t>counter</w:t>
      </w:r>
      <w:r w:rsidR="00DD404A">
        <w:t>ing</w:t>
      </w:r>
      <w:r w:rsidRPr="00113DEC">
        <w:t xml:space="preserve"> terrorism</w:t>
      </w:r>
      <w:r w:rsidR="00DD404A">
        <w:t>,</w:t>
      </w:r>
      <w:r w:rsidRPr="00113DEC">
        <w:t xml:space="preserve"> from 10 to 14 July 2017,</w:t>
      </w:r>
      <w:r w:rsidR="00DD404A">
        <w:rPr>
          <w:rStyle w:val="FootnoteReference"/>
        </w:rPr>
        <w:footnoteReference w:id="3"/>
      </w:r>
      <w:r w:rsidRPr="00113DEC">
        <w:t xml:space="preserve"> the Special Rapporteur on the promotion of truth, justice, reparation and guarantees of non-recurrence</w:t>
      </w:r>
      <w:r w:rsidR="00DD404A">
        <w:t>,</w:t>
      </w:r>
      <w:r w:rsidRPr="00113DEC">
        <w:t xml:space="preserve"> from 10 to 23 October 2017, the Working Group on Arbitrary Detention</w:t>
      </w:r>
      <w:r w:rsidR="00DD404A">
        <w:t>,</w:t>
      </w:r>
      <w:r w:rsidRPr="00113DEC">
        <w:t xml:space="preserve"> from 4 to 15 December 2017</w:t>
      </w:r>
      <w:r w:rsidR="0011713C">
        <w:t>,</w:t>
      </w:r>
      <w:r w:rsidR="00DD404A">
        <w:rPr>
          <w:rStyle w:val="FootnoteReference"/>
        </w:rPr>
        <w:footnoteReference w:id="4"/>
      </w:r>
      <w:r w:rsidRPr="00113DEC">
        <w:t xml:space="preserve"> and the Independent Expert on the effects of foreign debt </w:t>
      </w:r>
      <w:r w:rsidR="00B902A9">
        <w:t xml:space="preserve">and other related international financial obligations of States </w:t>
      </w:r>
      <w:r w:rsidRPr="00113DEC">
        <w:t xml:space="preserve">on the full enjoyment of </w:t>
      </w:r>
      <w:r w:rsidR="00B902A9">
        <w:t xml:space="preserve">all </w:t>
      </w:r>
      <w:r w:rsidRPr="00113DEC">
        <w:t>human rights</w:t>
      </w:r>
      <w:r w:rsidR="00DD404A">
        <w:t>,</w:t>
      </w:r>
      <w:r w:rsidR="00B902A9">
        <w:t xml:space="preserve"> particularly economic, social and cultural rights,</w:t>
      </w:r>
      <w:r w:rsidRPr="00113DEC">
        <w:t xml:space="preserve"> from 3 to 11 September 2018,</w:t>
      </w:r>
      <w:r w:rsidR="00B902A9">
        <w:rPr>
          <w:rStyle w:val="FootnoteReference"/>
        </w:rPr>
        <w:footnoteReference w:id="5"/>
      </w:r>
    </w:p>
    <w:p w:rsidR="00113DEC" w:rsidRPr="00113DEC" w:rsidRDefault="00113DEC">
      <w:pPr>
        <w:pStyle w:val="SingleTxtG"/>
        <w:ind w:firstLine="567"/>
      </w:pPr>
      <w:r w:rsidRPr="00113DEC">
        <w:rPr>
          <w:i/>
        </w:rPr>
        <w:t>Noting with appreciation</w:t>
      </w:r>
      <w:r w:rsidRPr="00113DEC">
        <w:t xml:space="preserve"> the return of some private land previously occupied by the military to civilian ownership</w:t>
      </w:r>
      <w:r w:rsidR="00B902A9">
        <w:t>,</w:t>
      </w:r>
      <w:r w:rsidRPr="00113DEC">
        <w:t xml:space="preserve"> while recalling </w:t>
      </w:r>
      <w:r w:rsidR="00EC3D21">
        <w:t xml:space="preserve">the </w:t>
      </w:r>
      <w:r w:rsidRPr="00113DEC">
        <w:t xml:space="preserve">repeated public commitments </w:t>
      </w:r>
      <w:r w:rsidR="00EC3D21">
        <w:t xml:space="preserve">made </w:t>
      </w:r>
      <w:r w:rsidRPr="00113DEC">
        <w:t>by the Government of Sri Lanka to release all private land occupied by the military to enable local pop</w:t>
      </w:r>
      <w:r>
        <w:t xml:space="preserve">ulations to resume </w:t>
      </w:r>
      <w:r w:rsidR="00EC3D21">
        <w:t xml:space="preserve">their </w:t>
      </w:r>
      <w:r>
        <w:t>livelihoods,</w:t>
      </w:r>
    </w:p>
    <w:p w:rsidR="00113DEC" w:rsidRPr="00113DEC" w:rsidRDefault="00113DEC">
      <w:pPr>
        <w:pStyle w:val="SingleTxtG"/>
        <w:ind w:firstLine="567"/>
      </w:pPr>
      <w:r w:rsidRPr="00113DEC">
        <w:rPr>
          <w:i/>
          <w:iCs/>
        </w:rPr>
        <w:t>Noting</w:t>
      </w:r>
      <w:r w:rsidRPr="00113DEC">
        <w:rPr>
          <w:iCs/>
        </w:rPr>
        <w:t xml:space="preserve"> o</w:t>
      </w:r>
      <w:r w:rsidRPr="00113DEC">
        <w:t xml:space="preserve">ther steps taken by the Government of Sri Lanka to implement Human Rights Council resolution 30/1, including </w:t>
      </w:r>
      <w:r w:rsidR="00EC3D21">
        <w:t xml:space="preserve">the </w:t>
      </w:r>
      <w:r w:rsidRPr="00113DEC">
        <w:t xml:space="preserve">progress </w:t>
      </w:r>
      <w:r w:rsidR="00EC3D21">
        <w:t xml:space="preserve">made </w:t>
      </w:r>
      <w:r w:rsidRPr="00113DEC">
        <w:t xml:space="preserve">towards establishing an </w:t>
      </w:r>
      <w:r w:rsidR="00B902A9">
        <w:t>o</w:t>
      </w:r>
      <w:r w:rsidRPr="00113DEC">
        <w:t xml:space="preserve">ffice on </w:t>
      </w:r>
      <w:r w:rsidR="00B902A9">
        <w:t>r</w:t>
      </w:r>
      <w:r w:rsidRPr="00113DEC">
        <w:t xml:space="preserve">eparations and the submission to cabinet of a concept paper on a </w:t>
      </w:r>
      <w:r w:rsidR="00B902A9">
        <w:t>b</w:t>
      </w:r>
      <w:r w:rsidRPr="00113DEC">
        <w:t xml:space="preserve">ill to establish a </w:t>
      </w:r>
      <w:r w:rsidR="00B902A9">
        <w:t>t</w:t>
      </w:r>
      <w:r w:rsidRPr="00113DEC">
        <w:t xml:space="preserve">ruth and </w:t>
      </w:r>
      <w:r w:rsidR="00B902A9">
        <w:t>r</w:t>
      </w:r>
      <w:r w:rsidRPr="00113DEC">
        <w:t xml:space="preserve">econciliation </w:t>
      </w:r>
      <w:r w:rsidR="00B902A9">
        <w:t>c</w:t>
      </w:r>
      <w:r w:rsidRPr="00113DEC">
        <w:t xml:space="preserve">ommission, the proposed repeal of the Prevention of Terrorism Act </w:t>
      </w:r>
      <w:r w:rsidR="00B902A9">
        <w:t xml:space="preserve">of </w:t>
      </w:r>
      <w:r w:rsidRPr="00113DEC">
        <w:t xml:space="preserve">1978 and the preparation of a draft </w:t>
      </w:r>
      <w:r w:rsidR="00B902A9">
        <w:t>c</w:t>
      </w:r>
      <w:r w:rsidRPr="00113DEC">
        <w:t>ounter</w:t>
      </w:r>
      <w:r w:rsidR="00B902A9">
        <w:t>-t</w:t>
      </w:r>
      <w:r w:rsidRPr="00113DEC">
        <w:t xml:space="preserve">errorism </w:t>
      </w:r>
      <w:r w:rsidR="00B902A9">
        <w:t>a</w:t>
      </w:r>
      <w:r w:rsidRPr="00113DEC">
        <w:t>ct, while reiterating in this context the need for further significant progress and encouraging in this regard the adoption of a time-bound implementation strategy,</w:t>
      </w:r>
    </w:p>
    <w:p w:rsidR="00113DEC" w:rsidRPr="00113DEC" w:rsidRDefault="00113DEC" w:rsidP="0011713C">
      <w:pPr>
        <w:pStyle w:val="SingleTxtG"/>
        <w:ind w:firstLine="567"/>
      </w:pPr>
      <w:r>
        <w:t>1.</w:t>
      </w:r>
      <w:r>
        <w:tab/>
      </w:r>
      <w:r w:rsidRPr="00113DEC">
        <w:rPr>
          <w:i/>
          <w:iCs/>
        </w:rPr>
        <w:t xml:space="preserve">Takes note with appreciation </w:t>
      </w:r>
      <w:r w:rsidRPr="00113DEC">
        <w:t>of the comprehensive report presented by the United Nations High Commissioner for Human Rights to the Human Rights Council at its fortieth session,</w:t>
      </w:r>
      <w:r w:rsidR="00B902A9">
        <w:rPr>
          <w:rStyle w:val="FootnoteReference"/>
        </w:rPr>
        <w:footnoteReference w:id="6"/>
      </w:r>
      <w:r w:rsidRPr="00113DEC">
        <w:t xml:space="preserve"> </w:t>
      </w:r>
      <w:r w:rsidR="0011713C">
        <w:t xml:space="preserve">pursuant to the </w:t>
      </w:r>
      <w:r w:rsidRPr="00113DEC">
        <w:t xml:space="preserve">request </w:t>
      </w:r>
      <w:r w:rsidR="0011713C">
        <w:t xml:space="preserve">made </w:t>
      </w:r>
      <w:r w:rsidRPr="00113DEC">
        <w:t>by the Council in its resolution 34/1, and requests the Government of Sri Lanka to implement fully the measures identified by the Council in its resolu</w:t>
      </w:r>
      <w:r>
        <w:t>tion 30/1 that are outstanding;</w:t>
      </w:r>
    </w:p>
    <w:p w:rsidR="00113DEC" w:rsidRPr="00113DEC" w:rsidRDefault="00113DEC" w:rsidP="00113DEC">
      <w:pPr>
        <w:pStyle w:val="SingleTxtG"/>
        <w:ind w:firstLine="567"/>
      </w:pPr>
      <w:r w:rsidRPr="00113DEC">
        <w:t>2.</w:t>
      </w:r>
      <w:r>
        <w:tab/>
      </w:r>
      <w:r w:rsidRPr="00113DEC">
        <w:rPr>
          <w:i/>
          <w:iCs/>
        </w:rPr>
        <w:t xml:space="preserve">Welcomes </w:t>
      </w:r>
      <w:r w:rsidRPr="00113DEC">
        <w:t>the positive engagement of the Government of Sri Lanka with the High Commissioner and the Office of the High Commissioner since October 2015, and with relevant special procedure mandate holders, and encourages the continuation of that engagement in the promotion and protection of human rights and truth, justice, reconciliation a</w:t>
      </w:r>
      <w:r>
        <w:t>nd accountability in Sri Lanka;</w:t>
      </w:r>
    </w:p>
    <w:p w:rsidR="00113DEC" w:rsidRPr="00113DEC" w:rsidRDefault="00113DEC" w:rsidP="00113DEC">
      <w:pPr>
        <w:pStyle w:val="SingleTxtG"/>
        <w:ind w:firstLine="567"/>
      </w:pPr>
      <w:r>
        <w:t>3.</w:t>
      </w:r>
      <w:r>
        <w:tab/>
      </w:r>
      <w:r w:rsidRPr="00113DEC">
        <w:rPr>
          <w:i/>
          <w:iCs/>
        </w:rPr>
        <w:t xml:space="preserve">Requests </w:t>
      </w:r>
      <w:r w:rsidRPr="00113DEC">
        <w:t>the Office of the High Commissioner and relevant special procedure mandate holders, in consultation with and with the concurrence of the Government of Sri Lanka, to continue to strengthen their advice and technical assistance on the promotion and protection of human rights and truth, justice, reconciliation a</w:t>
      </w:r>
      <w:r>
        <w:t>nd accountability in Sri Lanka;</w:t>
      </w:r>
    </w:p>
    <w:p w:rsidR="00113DEC" w:rsidRPr="004A3CF0" w:rsidRDefault="00113DEC">
      <w:pPr>
        <w:pStyle w:val="SingleTxtG"/>
        <w:ind w:firstLine="567"/>
      </w:pPr>
      <w:r w:rsidRPr="00113DEC">
        <w:t>4</w:t>
      </w:r>
      <w:r>
        <w:t>.</w:t>
      </w:r>
      <w:r>
        <w:tab/>
      </w:r>
      <w:r w:rsidRPr="00113DEC">
        <w:rPr>
          <w:i/>
          <w:iCs/>
        </w:rPr>
        <w:t xml:space="preserve">Requests </w:t>
      </w:r>
      <w:r w:rsidRPr="00113DEC">
        <w:t>the Office of the High Commissioner to continue to assess progress on the implementation of its recommendations and other relevant processes relat</w:t>
      </w:r>
      <w:r w:rsidR="00EC3D21">
        <w:t>ing</w:t>
      </w:r>
      <w:r w:rsidRPr="00113DEC">
        <w:t xml:space="preserve"> to reconciliation, accountability and human rights in Sri Lanka, and to present a written update to the Human Rights Council at its forty-third session, and a comprehensive report, </w:t>
      </w:r>
      <w:r w:rsidR="00FC3903">
        <w:t xml:space="preserve">to be </w:t>
      </w:r>
      <w:r w:rsidRPr="00113DEC">
        <w:t>followed by a discussion on the implementation of Council resolution 30/1, at its forty-sixth session.</w:t>
      </w:r>
    </w:p>
    <w:p w:rsidR="00CF586F" w:rsidRPr="00113DEC" w:rsidRDefault="00113DEC" w:rsidP="00113DEC">
      <w:pPr>
        <w:spacing w:before="240"/>
        <w:ind w:left="1134" w:right="1134"/>
        <w:jc w:val="center"/>
        <w:rPr>
          <w:u w:val="single"/>
        </w:rPr>
      </w:pPr>
      <w:r>
        <w:rPr>
          <w:u w:val="single"/>
        </w:rPr>
        <w:tab/>
      </w:r>
      <w:r>
        <w:rPr>
          <w:u w:val="single"/>
        </w:rPr>
        <w:tab/>
      </w:r>
      <w:r>
        <w:rPr>
          <w:u w:val="single"/>
        </w:rPr>
        <w:tab/>
      </w:r>
      <w:r w:rsidR="004B796A">
        <w:rPr>
          <w:u w:val="single"/>
        </w:rPr>
        <w:tab/>
      </w:r>
    </w:p>
    <w:sectPr w:rsidR="00CF586F" w:rsidRPr="00113DEC" w:rsidSect="004A3CF0">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C7F" w:rsidRDefault="00594C7F"/>
  </w:endnote>
  <w:endnote w:type="continuationSeparator" w:id="0">
    <w:p w:rsidR="00594C7F" w:rsidRDefault="00594C7F"/>
  </w:endnote>
  <w:endnote w:type="continuationNotice" w:id="1">
    <w:p w:rsidR="00594C7F" w:rsidRDefault="00594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F0" w:rsidRPr="004A3CF0" w:rsidRDefault="004A3CF0" w:rsidP="004A3CF0">
    <w:pPr>
      <w:pStyle w:val="Footer"/>
      <w:tabs>
        <w:tab w:val="right" w:pos="9638"/>
      </w:tabs>
      <w:rPr>
        <w:sz w:val="18"/>
      </w:rPr>
    </w:pPr>
    <w:r w:rsidRPr="004A3CF0">
      <w:rPr>
        <w:b/>
        <w:sz w:val="18"/>
      </w:rPr>
      <w:fldChar w:fldCharType="begin"/>
    </w:r>
    <w:r w:rsidRPr="004A3CF0">
      <w:rPr>
        <w:b/>
        <w:sz w:val="18"/>
      </w:rPr>
      <w:instrText xml:space="preserve"> PAGE  \* MERGEFORMAT </w:instrText>
    </w:r>
    <w:r w:rsidRPr="004A3CF0">
      <w:rPr>
        <w:b/>
        <w:sz w:val="18"/>
      </w:rPr>
      <w:fldChar w:fldCharType="separate"/>
    </w:r>
    <w:r w:rsidR="00CD750B">
      <w:rPr>
        <w:b/>
        <w:noProof/>
        <w:sz w:val="18"/>
      </w:rPr>
      <w:t>2</w:t>
    </w:r>
    <w:r w:rsidRPr="004A3CF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F0" w:rsidRPr="004A3CF0" w:rsidRDefault="004A3CF0" w:rsidP="004A3CF0">
    <w:pPr>
      <w:pStyle w:val="Footer"/>
      <w:tabs>
        <w:tab w:val="right" w:pos="9638"/>
      </w:tabs>
      <w:rPr>
        <w:b/>
        <w:sz w:val="18"/>
      </w:rPr>
    </w:pPr>
    <w:r>
      <w:tab/>
    </w:r>
    <w:r w:rsidRPr="004A3CF0">
      <w:rPr>
        <w:b/>
        <w:sz w:val="18"/>
      </w:rPr>
      <w:fldChar w:fldCharType="begin"/>
    </w:r>
    <w:r w:rsidRPr="004A3CF0">
      <w:rPr>
        <w:b/>
        <w:sz w:val="18"/>
      </w:rPr>
      <w:instrText xml:space="preserve"> PAGE  \* MERGEFORMAT </w:instrText>
    </w:r>
    <w:r w:rsidRPr="004A3CF0">
      <w:rPr>
        <w:b/>
        <w:sz w:val="18"/>
      </w:rPr>
      <w:fldChar w:fldCharType="separate"/>
    </w:r>
    <w:r w:rsidR="00113DEC">
      <w:rPr>
        <w:b/>
        <w:noProof/>
        <w:sz w:val="18"/>
      </w:rPr>
      <w:t>3</w:t>
    </w:r>
    <w:r w:rsidRPr="004A3CF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50B" w:rsidRDefault="00CD750B" w:rsidP="00CD750B">
    <w:pPr>
      <w:pStyle w:val="Footer"/>
    </w:pPr>
    <w:r>
      <w:rPr>
        <w:noProof/>
        <w:lang w:eastAsia="zh-CN"/>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CD750B" w:rsidRDefault="00CD750B" w:rsidP="00CD750B">
    <w:pPr>
      <w:pStyle w:val="Footer"/>
      <w:ind w:right="1134"/>
      <w:rPr>
        <w:sz w:val="20"/>
      </w:rPr>
    </w:pPr>
    <w:r>
      <w:rPr>
        <w:sz w:val="20"/>
      </w:rPr>
      <w:t>GE.19-04147(E)</w:t>
    </w:r>
  </w:p>
  <w:p w:rsidR="00CD750B" w:rsidRPr="00CD750B" w:rsidRDefault="00CD750B" w:rsidP="00CD750B">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zh-CN"/>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A/HRC/40/L.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40/L.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C7F" w:rsidRPr="000B175B" w:rsidRDefault="00594C7F" w:rsidP="000B175B">
      <w:pPr>
        <w:tabs>
          <w:tab w:val="right" w:pos="2155"/>
        </w:tabs>
        <w:spacing w:after="80"/>
        <w:ind w:left="680"/>
        <w:rPr>
          <w:u w:val="single"/>
        </w:rPr>
      </w:pPr>
      <w:r>
        <w:rPr>
          <w:u w:val="single"/>
        </w:rPr>
        <w:tab/>
      </w:r>
    </w:p>
  </w:footnote>
  <w:footnote w:type="continuationSeparator" w:id="0">
    <w:p w:rsidR="00594C7F" w:rsidRPr="00FC68B7" w:rsidRDefault="00594C7F" w:rsidP="00FC68B7">
      <w:pPr>
        <w:tabs>
          <w:tab w:val="left" w:pos="2155"/>
        </w:tabs>
        <w:spacing w:after="80"/>
        <w:ind w:left="680"/>
        <w:rPr>
          <w:u w:val="single"/>
        </w:rPr>
      </w:pPr>
      <w:r>
        <w:rPr>
          <w:u w:val="single"/>
        </w:rPr>
        <w:tab/>
      </w:r>
    </w:p>
  </w:footnote>
  <w:footnote w:type="continuationNotice" w:id="1">
    <w:p w:rsidR="00594C7F" w:rsidRDefault="00594C7F"/>
  </w:footnote>
  <w:footnote w:id="2">
    <w:p w:rsidR="00113DEC" w:rsidRPr="00113DEC" w:rsidRDefault="00113DEC">
      <w:pPr>
        <w:pStyle w:val="FootnoteText"/>
      </w:pPr>
      <w:r>
        <w:rPr>
          <w:rStyle w:val="FootnoteReference"/>
        </w:rPr>
        <w:tab/>
      </w:r>
      <w:r w:rsidRPr="00113DEC">
        <w:rPr>
          <w:rStyle w:val="FootnoteReference"/>
          <w:sz w:val="20"/>
          <w:vertAlign w:val="baseline"/>
        </w:rPr>
        <w:t>*</w:t>
      </w:r>
      <w:r>
        <w:rPr>
          <w:rStyle w:val="FootnoteReference"/>
          <w:sz w:val="20"/>
          <w:vertAlign w:val="baseline"/>
        </w:rPr>
        <w:tab/>
      </w:r>
      <w:r>
        <w:t>State not a member of the Human Rights Council.</w:t>
      </w:r>
    </w:p>
  </w:footnote>
  <w:footnote w:id="3">
    <w:p w:rsidR="00DD404A" w:rsidRPr="002818CF" w:rsidRDefault="00DD404A">
      <w:pPr>
        <w:pStyle w:val="FootnoteText"/>
        <w:rPr>
          <w:lang w:val="en-US"/>
        </w:rPr>
      </w:pPr>
      <w:r>
        <w:tab/>
      </w:r>
      <w:r>
        <w:rPr>
          <w:rStyle w:val="FootnoteReference"/>
        </w:rPr>
        <w:footnoteRef/>
      </w:r>
      <w:r>
        <w:t xml:space="preserve"> </w:t>
      </w:r>
      <w:r>
        <w:tab/>
      </w:r>
      <w:r>
        <w:rPr>
          <w:lang w:val="en-US"/>
        </w:rPr>
        <w:t>See A/HRC/40/52/Add.3.</w:t>
      </w:r>
    </w:p>
  </w:footnote>
  <w:footnote w:id="4">
    <w:p w:rsidR="00DD404A" w:rsidRPr="002818CF" w:rsidRDefault="00B902A9">
      <w:pPr>
        <w:pStyle w:val="FootnoteText"/>
        <w:rPr>
          <w:lang w:val="en-US"/>
        </w:rPr>
      </w:pPr>
      <w:r>
        <w:tab/>
      </w:r>
      <w:r w:rsidR="00DD404A">
        <w:rPr>
          <w:rStyle w:val="FootnoteReference"/>
        </w:rPr>
        <w:footnoteRef/>
      </w:r>
      <w:r w:rsidR="00DD404A">
        <w:t xml:space="preserve"> </w:t>
      </w:r>
      <w:r>
        <w:tab/>
      </w:r>
      <w:r w:rsidR="00DD404A">
        <w:rPr>
          <w:lang w:val="en-US"/>
        </w:rPr>
        <w:t>See A/HRC/39/45/Add.2.</w:t>
      </w:r>
    </w:p>
  </w:footnote>
  <w:footnote w:id="5">
    <w:p w:rsidR="00B902A9" w:rsidRPr="002818CF" w:rsidRDefault="00B902A9">
      <w:pPr>
        <w:pStyle w:val="FootnoteText"/>
        <w:rPr>
          <w:lang w:val="en-US"/>
        </w:rPr>
      </w:pPr>
      <w:r>
        <w:tab/>
      </w:r>
      <w:r>
        <w:rPr>
          <w:rStyle w:val="FootnoteReference"/>
        </w:rPr>
        <w:footnoteRef/>
      </w:r>
      <w:r>
        <w:t xml:space="preserve"> </w:t>
      </w:r>
      <w:r>
        <w:tab/>
      </w:r>
      <w:r>
        <w:rPr>
          <w:lang w:val="en-US"/>
        </w:rPr>
        <w:t>See A/HRC/40/57/Add.2.</w:t>
      </w:r>
    </w:p>
  </w:footnote>
  <w:footnote w:id="6">
    <w:p w:rsidR="00B902A9" w:rsidRPr="002818CF" w:rsidRDefault="00B902A9">
      <w:pPr>
        <w:pStyle w:val="FootnoteText"/>
        <w:rPr>
          <w:lang w:val="en-US"/>
        </w:rPr>
      </w:pPr>
      <w:r>
        <w:tab/>
      </w:r>
      <w:r>
        <w:rPr>
          <w:rStyle w:val="FootnoteReference"/>
        </w:rPr>
        <w:footnoteRef/>
      </w:r>
      <w:r>
        <w:t xml:space="preserve"> </w:t>
      </w:r>
      <w:r>
        <w:tab/>
      </w:r>
      <w:r>
        <w:rPr>
          <w:lang w:val="en-US"/>
        </w:rPr>
        <w:t>A/HRC/40/23.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F0" w:rsidRPr="004A3CF0" w:rsidRDefault="00AE2C85">
    <w:pPr>
      <w:pStyle w:val="Header"/>
    </w:pPr>
    <w:r>
      <w:t>A/HRC/40/L.</w:t>
    </w:r>
    <w:r w:rsidR="00113DEC">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F0" w:rsidRPr="004A3CF0" w:rsidRDefault="00CD750B" w:rsidP="004A3CF0">
    <w:pPr>
      <w:pStyle w:val="Header"/>
      <w:jc w:val="right"/>
    </w:pPr>
    <w:r>
      <w:fldChar w:fldCharType="begin"/>
    </w:r>
    <w:r>
      <w:instrText xml:space="preserve"> TITLE  \* MERGEFORMAT </w:instrText>
    </w:r>
    <w:r>
      <w:fldChar w:fldCharType="separate"/>
    </w:r>
    <w:r w:rsidR="00113DEC">
      <w:t>A/HRC/37/L.</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F0"/>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13DEC"/>
    <w:rsid w:val="0011713C"/>
    <w:rsid w:val="00146D32"/>
    <w:rsid w:val="001509BA"/>
    <w:rsid w:val="00153738"/>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818CF"/>
    <w:rsid w:val="002A7BAB"/>
    <w:rsid w:val="002C21F0"/>
    <w:rsid w:val="003107FA"/>
    <w:rsid w:val="003229D8"/>
    <w:rsid w:val="00324451"/>
    <w:rsid w:val="00327752"/>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A3CF0"/>
    <w:rsid w:val="004B75D2"/>
    <w:rsid w:val="004B796A"/>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94C7F"/>
    <w:rsid w:val="005A0E16"/>
    <w:rsid w:val="005B3DB3"/>
    <w:rsid w:val="005B6E48"/>
    <w:rsid w:val="005D53BE"/>
    <w:rsid w:val="005E1712"/>
    <w:rsid w:val="005F4C4F"/>
    <w:rsid w:val="005F50E7"/>
    <w:rsid w:val="00611FC4"/>
    <w:rsid w:val="006176FB"/>
    <w:rsid w:val="00640B26"/>
    <w:rsid w:val="00654BD9"/>
    <w:rsid w:val="00655B60"/>
    <w:rsid w:val="00670741"/>
    <w:rsid w:val="00696BD6"/>
    <w:rsid w:val="006A6B9D"/>
    <w:rsid w:val="006A7392"/>
    <w:rsid w:val="006B3189"/>
    <w:rsid w:val="006B7D65"/>
    <w:rsid w:val="006D6DA6"/>
    <w:rsid w:val="006E564B"/>
    <w:rsid w:val="006F13F0"/>
    <w:rsid w:val="006F1FF8"/>
    <w:rsid w:val="006F5035"/>
    <w:rsid w:val="007065EB"/>
    <w:rsid w:val="00720183"/>
    <w:rsid w:val="0072632A"/>
    <w:rsid w:val="0074200B"/>
    <w:rsid w:val="00785FA3"/>
    <w:rsid w:val="007A6296"/>
    <w:rsid w:val="007A79E4"/>
    <w:rsid w:val="007B6BA5"/>
    <w:rsid w:val="007C1B62"/>
    <w:rsid w:val="007C3390"/>
    <w:rsid w:val="007C4F4B"/>
    <w:rsid w:val="007D2CDC"/>
    <w:rsid w:val="007D5327"/>
    <w:rsid w:val="007E198E"/>
    <w:rsid w:val="007F6611"/>
    <w:rsid w:val="008155C3"/>
    <w:rsid w:val="008175E9"/>
    <w:rsid w:val="0082243E"/>
    <w:rsid w:val="008242D7"/>
    <w:rsid w:val="00856CD2"/>
    <w:rsid w:val="00861BC6"/>
    <w:rsid w:val="00871FD5"/>
    <w:rsid w:val="00876690"/>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27185"/>
    <w:rsid w:val="00A4634F"/>
    <w:rsid w:val="00A51CF3"/>
    <w:rsid w:val="00A72F22"/>
    <w:rsid w:val="00A73D32"/>
    <w:rsid w:val="00A748A6"/>
    <w:rsid w:val="00A879A4"/>
    <w:rsid w:val="00A87E95"/>
    <w:rsid w:val="00A92E29"/>
    <w:rsid w:val="00AC5AE2"/>
    <w:rsid w:val="00AD09E9"/>
    <w:rsid w:val="00AE2C85"/>
    <w:rsid w:val="00AF0576"/>
    <w:rsid w:val="00AF3829"/>
    <w:rsid w:val="00B037F0"/>
    <w:rsid w:val="00B2327D"/>
    <w:rsid w:val="00B2718F"/>
    <w:rsid w:val="00B30179"/>
    <w:rsid w:val="00B3317B"/>
    <w:rsid w:val="00B334DC"/>
    <w:rsid w:val="00B3631A"/>
    <w:rsid w:val="00B53013"/>
    <w:rsid w:val="00B63903"/>
    <w:rsid w:val="00B67F5E"/>
    <w:rsid w:val="00B73E65"/>
    <w:rsid w:val="00B81E12"/>
    <w:rsid w:val="00B87110"/>
    <w:rsid w:val="00B902A9"/>
    <w:rsid w:val="00B97FA8"/>
    <w:rsid w:val="00BB6835"/>
    <w:rsid w:val="00BC1385"/>
    <w:rsid w:val="00BC74E9"/>
    <w:rsid w:val="00BE618E"/>
    <w:rsid w:val="00BE655C"/>
    <w:rsid w:val="00C217E7"/>
    <w:rsid w:val="00C24693"/>
    <w:rsid w:val="00C35F0B"/>
    <w:rsid w:val="00C463DD"/>
    <w:rsid w:val="00C64458"/>
    <w:rsid w:val="00C745C3"/>
    <w:rsid w:val="00CA2A58"/>
    <w:rsid w:val="00CC0B55"/>
    <w:rsid w:val="00CD6995"/>
    <w:rsid w:val="00CD750B"/>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349F"/>
    <w:rsid w:val="00DA67AD"/>
    <w:rsid w:val="00DB18CE"/>
    <w:rsid w:val="00DB5566"/>
    <w:rsid w:val="00DD404A"/>
    <w:rsid w:val="00DE3EC0"/>
    <w:rsid w:val="00E11593"/>
    <w:rsid w:val="00E12B6B"/>
    <w:rsid w:val="00E130AB"/>
    <w:rsid w:val="00E438D9"/>
    <w:rsid w:val="00E5644E"/>
    <w:rsid w:val="00E7260F"/>
    <w:rsid w:val="00E806EE"/>
    <w:rsid w:val="00E96630"/>
    <w:rsid w:val="00EB0FB9"/>
    <w:rsid w:val="00EC3D21"/>
    <w:rsid w:val="00ED0CA9"/>
    <w:rsid w:val="00ED7A2A"/>
    <w:rsid w:val="00EF1D7F"/>
    <w:rsid w:val="00EF5BDB"/>
    <w:rsid w:val="00F07FD9"/>
    <w:rsid w:val="00F23933"/>
    <w:rsid w:val="00F24119"/>
    <w:rsid w:val="00F40E75"/>
    <w:rsid w:val="00F42CD9"/>
    <w:rsid w:val="00F52936"/>
    <w:rsid w:val="00F54083"/>
    <w:rsid w:val="00F56D0A"/>
    <w:rsid w:val="00F677CB"/>
    <w:rsid w:val="00F67B04"/>
    <w:rsid w:val="00FA7DF3"/>
    <w:rsid w:val="00FC390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5:docId w15:val="{52A9BE94-9455-445C-BC8C-A2DCC9DE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B3219-CF95-48EB-BFD2-1E4AF71E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2</Pages>
  <Words>756</Words>
  <Characters>4254</Characters>
  <Application>Microsoft Office Word</Application>
  <DocSecurity>0</DocSecurity>
  <Lines>80</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A/HRC/37/L.</vt:lpstr>
      <vt:lpstr/>
    </vt:vector>
  </TitlesOfParts>
  <Company>CSD</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A/HRC/40/L.1</dc:title>
  <dc:subject>1904147</dc:subject>
  <dc:creator>Sumiko IHARA</dc:creator>
  <cp:keywords/>
  <dc:description/>
  <cp:lastModifiedBy>Generic Desk Anglais</cp:lastModifiedBy>
  <cp:revision>2</cp:revision>
  <cp:lastPrinted>2008-01-29T08:30:00Z</cp:lastPrinted>
  <dcterms:created xsi:type="dcterms:W3CDTF">2019-03-13T13:25:00Z</dcterms:created>
  <dcterms:modified xsi:type="dcterms:W3CDTF">2019-03-13T13:25:00Z</dcterms:modified>
</cp:coreProperties>
</file>