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315D5507" w14:textId="77777777">
        <w:trPr>
          <w:trHeight w:val="851"/>
        </w:trPr>
        <w:tc>
          <w:tcPr>
            <w:tcW w:w="1259" w:type="dxa"/>
            <w:tcBorders>
              <w:top w:val="nil"/>
              <w:left w:val="nil"/>
              <w:bottom w:val="single" w:sz="4" w:space="0" w:color="auto"/>
              <w:right w:val="nil"/>
            </w:tcBorders>
          </w:tcPr>
          <w:p w14:paraId="4A6BD49C" w14:textId="77777777" w:rsidR="00446DE4" w:rsidRPr="00966A88" w:rsidRDefault="00446DE4" w:rsidP="00966A88">
            <w:pPr>
              <w:tabs>
                <w:tab w:val="right" w:pos="850"/>
                <w:tab w:val="left" w:pos="1134"/>
                <w:tab w:val="right" w:leader="dot" w:pos="8504"/>
              </w:tabs>
              <w:spacing w:line="20" w:lineRule="exact"/>
              <w:rPr>
                <w:sz w:val="2"/>
              </w:rPr>
            </w:pPr>
          </w:p>
          <w:p w14:paraId="25C8300D" w14:textId="77777777" w:rsidR="00966A88" w:rsidRPr="00E806EE" w:rsidRDefault="00966A88"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BE8323A" w14:textId="77777777"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65DB83D4" w14:textId="77777777" w:rsidR="00446DE4" w:rsidRPr="00DE3EC0" w:rsidRDefault="001D18FE" w:rsidP="00CD1BEB">
            <w:pPr>
              <w:jc w:val="right"/>
            </w:pPr>
            <w:r w:rsidRPr="001D18FE">
              <w:rPr>
                <w:sz w:val="40"/>
              </w:rPr>
              <w:t>A</w:t>
            </w:r>
            <w:r>
              <w:t>/HRC/</w:t>
            </w:r>
            <w:r w:rsidR="0090714E">
              <w:t>3</w:t>
            </w:r>
            <w:r w:rsidR="003833B8">
              <w:t>4</w:t>
            </w:r>
            <w:r>
              <w:t>/L.</w:t>
            </w:r>
            <w:r w:rsidR="00CD1BEB">
              <w:t>1</w:t>
            </w:r>
          </w:p>
        </w:tc>
      </w:tr>
      <w:tr w:rsidR="003107FA" w14:paraId="242D2D62" w14:textId="77777777">
        <w:trPr>
          <w:trHeight w:val="2835"/>
        </w:trPr>
        <w:tc>
          <w:tcPr>
            <w:tcW w:w="1259" w:type="dxa"/>
            <w:tcBorders>
              <w:top w:val="single" w:sz="4" w:space="0" w:color="auto"/>
              <w:left w:val="nil"/>
              <w:bottom w:val="single" w:sz="12" w:space="0" w:color="auto"/>
              <w:right w:val="nil"/>
            </w:tcBorders>
          </w:tcPr>
          <w:p w14:paraId="6493AE6E" w14:textId="77777777" w:rsidR="003107FA" w:rsidRDefault="00F7093E" w:rsidP="00956D9B">
            <w:pPr>
              <w:spacing w:before="120"/>
              <w:jc w:val="center"/>
            </w:pPr>
            <w:r>
              <w:rPr>
                <w:noProof/>
                <w:lang w:eastAsia="en-GB"/>
              </w:rPr>
              <w:drawing>
                <wp:inline distT="0" distB="0" distL="0" distR="0" wp14:anchorId="37520192" wp14:editId="60130299">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0979758" w14:textId="77777777"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2295B53B" w14:textId="77777777" w:rsidR="001D18FE" w:rsidRDefault="001D18FE" w:rsidP="001D18FE">
            <w:pPr>
              <w:spacing w:before="240" w:line="240" w:lineRule="exact"/>
            </w:pPr>
            <w:r>
              <w:t>Distr.: Limited</w:t>
            </w:r>
          </w:p>
          <w:p w14:paraId="64565CFE" w14:textId="4BC4CCF8" w:rsidR="00F93E1F" w:rsidRDefault="00717DFD" w:rsidP="001D18FE">
            <w:pPr>
              <w:spacing w:line="240" w:lineRule="exact"/>
            </w:pPr>
            <w:r>
              <w:t>1</w:t>
            </w:r>
            <w:r w:rsidR="008B420D">
              <w:t>5</w:t>
            </w:r>
            <w:r>
              <w:t xml:space="preserve"> </w:t>
            </w:r>
            <w:r w:rsidR="003833B8">
              <w:t>March 2017</w:t>
            </w:r>
          </w:p>
          <w:p w14:paraId="603A5DD4" w14:textId="77777777" w:rsidR="00964F1D" w:rsidRDefault="00964F1D" w:rsidP="001D18FE">
            <w:pPr>
              <w:spacing w:line="240" w:lineRule="exact"/>
            </w:pPr>
          </w:p>
          <w:p w14:paraId="3A2E7AE3" w14:textId="77777777" w:rsidR="003107FA" w:rsidRDefault="001D18FE" w:rsidP="001D18FE">
            <w:pPr>
              <w:spacing w:line="240" w:lineRule="exact"/>
            </w:pPr>
            <w:r>
              <w:t>Original: English</w:t>
            </w:r>
          </w:p>
        </w:tc>
      </w:tr>
    </w:tbl>
    <w:p w14:paraId="7432D70C" w14:textId="77777777" w:rsidR="00FE7BB7" w:rsidRDefault="00FE7BB7" w:rsidP="00FE7BB7">
      <w:pPr>
        <w:spacing w:before="120"/>
        <w:rPr>
          <w:b/>
          <w:sz w:val="24"/>
          <w:szCs w:val="24"/>
        </w:rPr>
      </w:pPr>
      <w:r>
        <w:rPr>
          <w:b/>
          <w:sz w:val="24"/>
          <w:szCs w:val="24"/>
        </w:rPr>
        <w:t>Human Rights Council</w:t>
      </w:r>
    </w:p>
    <w:p w14:paraId="5D70EE61" w14:textId="77777777" w:rsidR="00FE7BB7" w:rsidRDefault="005C18A1" w:rsidP="00FE7BB7">
      <w:pPr>
        <w:rPr>
          <w:b/>
        </w:rPr>
      </w:pPr>
      <w:r>
        <w:rPr>
          <w:b/>
        </w:rPr>
        <w:t>Thirty-</w:t>
      </w:r>
      <w:r w:rsidR="003833B8">
        <w:rPr>
          <w:b/>
        </w:rPr>
        <w:t>fourth</w:t>
      </w:r>
      <w:r w:rsidR="004B7DEC">
        <w:rPr>
          <w:b/>
        </w:rPr>
        <w:t xml:space="preserve"> </w:t>
      </w:r>
      <w:r w:rsidR="00FE7BB7">
        <w:rPr>
          <w:b/>
        </w:rPr>
        <w:t>session</w:t>
      </w:r>
    </w:p>
    <w:p w14:paraId="5075E55D" w14:textId="77777777" w:rsidR="00A049FA" w:rsidRDefault="00A049FA" w:rsidP="00A049FA">
      <w:r w:rsidRPr="00D63B77">
        <w:t>27 February-24 March 2017</w:t>
      </w:r>
    </w:p>
    <w:p w14:paraId="55ED10BA" w14:textId="77777777" w:rsidR="00FE7BB7" w:rsidRDefault="00447FCF" w:rsidP="00FE7BB7">
      <w:r>
        <w:t xml:space="preserve">Agenda item </w:t>
      </w:r>
      <w:r w:rsidR="00C55CD6">
        <w:t>2</w:t>
      </w:r>
    </w:p>
    <w:p w14:paraId="02A797A6" w14:textId="77777777" w:rsidR="00C55CD6" w:rsidRPr="00533C25" w:rsidRDefault="00C55CD6" w:rsidP="00C55CD6">
      <w:pPr>
        <w:rPr>
          <w:b/>
        </w:rPr>
      </w:pPr>
      <w:r>
        <w:rPr>
          <w:b/>
        </w:rPr>
        <w:t>Annual report of the United Nations High Commissioner</w:t>
      </w:r>
      <w:r>
        <w:rPr>
          <w:b/>
        </w:rPr>
        <w:br/>
        <w:t>for H</w:t>
      </w:r>
      <w:r w:rsidR="00503EAB">
        <w:rPr>
          <w:b/>
        </w:rPr>
        <w:t>u</w:t>
      </w:r>
      <w:r>
        <w:rPr>
          <w:b/>
        </w:rPr>
        <w:t xml:space="preserve">man Rights and reports of the Office of the </w:t>
      </w:r>
      <w:r>
        <w:rPr>
          <w:b/>
        </w:rPr>
        <w:br/>
        <w:t>High Commissioner and the Secretary-General</w:t>
      </w:r>
    </w:p>
    <w:p w14:paraId="72717A3E" w14:textId="1BF45CF5" w:rsidR="00FE7BB7" w:rsidRDefault="00FE7BB7" w:rsidP="00FE7BB7">
      <w:pPr>
        <w:pStyle w:val="H23G"/>
      </w:pPr>
      <w:r>
        <w:tab/>
      </w:r>
      <w:r>
        <w:tab/>
      </w:r>
      <w:r w:rsidR="00CD1BEB">
        <w:t xml:space="preserve">Australia,* </w:t>
      </w:r>
      <w:r w:rsidR="0025791C">
        <w:t>Canada,</w:t>
      </w:r>
      <w:r w:rsidR="00F66137">
        <w:t>*</w:t>
      </w:r>
      <w:r w:rsidR="0025791C">
        <w:t xml:space="preserve"> </w:t>
      </w:r>
      <w:r w:rsidR="00CD1BEB">
        <w:t xml:space="preserve">Germany, </w:t>
      </w:r>
      <w:r w:rsidR="0025791C">
        <w:t>Israel,</w:t>
      </w:r>
      <w:r w:rsidR="00F66137">
        <w:t>*</w:t>
      </w:r>
      <w:r w:rsidR="0025791C">
        <w:t xml:space="preserve"> </w:t>
      </w:r>
      <w:r w:rsidR="00CD1BEB">
        <w:t>Japan, Montenegro,* Norway,* Sri Lanka,* the former Yugoslav Republic of Macedonia,</w:t>
      </w:r>
      <w:r w:rsidR="00CD1BEB" w:rsidRPr="00CD1BEB">
        <w:rPr>
          <w:rStyle w:val="FootnoteReference"/>
          <w:sz w:val="20"/>
          <w:vertAlign w:val="baseline"/>
        </w:rPr>
        <w:footnoteReference w:customMarkFollows="1" w:id="2"/>
        <w:t>*</w:t>
      </w:r>
      <w:r w:rsidR="00CD1BEB">
        <w:t xml:space="preserve"> United Kingdom of Great Britain and Northern Ireland, United States of America</w:t>
      </w:r>
      <w:r>
        <w:t>: draft resolution</w:t>
      </w:r>
    </w:p>
    <w:p w14:paraId="066B8C8C" w14:textId="77777777" w:rsidR="00FE7BB7" w:rsidRPr="007A45D3" w:rsidRDefault="0090714E" w:rsidP="0090714E">
      <w:pPr>
        <w:pStyle w:val="H1G"/>
        <w:tabs>
          <w:tab w:val="clear" w:pos="851"/>
        </w:tabs>
        <w:ind w:left="1843" w:hanging="709"/>
      </w:pPr>
      <w:r>
        <w:t>3</w:t>
      </w:r>
      <w:r w:rsidR="003833B8">
        <w:t>4</w:t>
      </w:r>
      <w:r>
        <w:t>/…</w:t>
      </w:r>
      <w:r>
        <w:tab/>
      </w:r>
      <w:r w:rsidR="00CD1BEB" w:rsidRPr="00CD1BEB">
        <w:rPr>
          <w:lang w:val="en-US"/>
        </w:rPr>
        <w:t>Promoting reconciliation, accountability and human rights in Sri Lanka</w:t>
      </w:r>
    </w:p>
    <w:p w14:paraId="66FB902D" w14:textId="77777777" w:rsidR="0090714E" w:rsidRDefault="00CD1BEB" w:rsidP="0090714E">
      <w:pPr>
        <w:pStyle w:val="SingleTxtG"/>
      </w:pPr>
      <w:r>
        <w:tab/>
      </w:r>
      <w:r w:rsidR="00FE7BB7" w:rsidRPr="0090714E">
        <w:rPr>
          <w:i/>
        </w:rPr>
        <w:t>The Human Rights Council</w:t>
      </w:r>
      <w:r w:rsidR="00FE7BB7" w:rsidRPr="00852165">
        <w:t>,</w:t>
      </w:r>
    </w:p>
    <w:p w14:paraId="5BD70CD3" w14:textId="033F3193" w:rsidR="00CD1BEB" w:rsidRPr="00CD1BEB" w:rsidRDefault="00CD1BEB" w:rsidP="00CD1BEB">
      <w:pPr>
        <w:pStyle w:val="SingleTxtG"/>
        <w:rPr>
          <w:lang w:val="en-US"/>
        </w:rPr>
      </w:pPr>
      <w:r>
        <w:rPr>
          <w:i/>
          <w:iCs/>
          <w:lang w:val="en-US"/>
        </w:rPr>
        <w:tab/>
      </w:r>
      <w:r w:rsidRPr="00CD1BEB">
        <w:rPr>
          <w:i/>
          <w:iCs/>
          <w:lang w:val="en-US"/>
        </w:rPr>
        <w:t xml:space="preserve">Reaffirming </w:t>
      </w:r>
      <w:r w:rsidRPr="00CD1BEB">
        <w:rPr>
          <w:lang w:val="en-US"/>
        </w:rPr>
        <w:t xml:space="preserve">the purposes and principles of the Charter of the United Nations, </w:t>
      </w:r>
    </w:p>
    <w:p w14:paraId="6413EBDE" w14:textId="2A5D8E79" w:rsidR="00CD1BEB" w:rsidRPr="00CD1BEB" w:rsidRDefault="00CD1BEB" w:rsidP="00CD1BEB">
      <w:pPr>
        <w:pStyle w:val="SingleTxtG"/>
        <w:rPr>
          <w:lang w:val="en-US"/>
        </w:rPr>
      </w:pPr>
      <w:r>
        <w:rPr>
          <w:i/>
          <w:iCs/>
          <w:lang w:val="en-US"/>
        </w:rPr>
        <w:tab/>
      </w:r>
      <w:r w:rsidRPr="00CD1BEB">
        <w:rPr>
          <w:i/>
          <w:iCs/>
          <w:lang w:val="en-US"/>
        </w:rPr>
        <w:t xml:space="preserve">Guided </w:t>
      </w:r>
      <w:r w:rsidRPr="00CD1BEB">
        <w:rPr>
          <w:lang w:val="en-US"/>
        </w:rPr>
        <w:t xml:space="preserve">by the Universal Declaration of Human Rights, the International Covenants on Human Rights and other relevant instruments, </w:t>
      </w:r>
    </w:p>
    <w:p w14:paraId="6B4C8F18" w14:textId="62B6C94B" w:rsidR="00CD1BEB" w:rsidRPr="00CD1BEB" w:rsidRDefault="00CD1BEB" w:rsidP="00CD1BEB">
      <w:pPr>
        <w:pStyle w:val="SingleTxtG"/>
        <w:rPr>
          <w:lang w:val="en-US"/>
        </w:rPr>
      </w:pPr>
      <w:r>
        <w:rPr>
          <w:i/>
          <w:lang w:val="en-US"/>
        </w:rPr>
        <w:tab/>
      </w:r>
      <w:r w:rsidRPr="00CD1BEB">
        <w:rPr>
          <w:i/>
          <w:lang w:val="en-US"/>
        </w:rPr>
        <w:t>Reaffirming</w:t>
      </w:r>
      <w:r w:rsidRPr="00CD1BEB">
        <w:rPr>
          <w:lang w:val="en-US"/>
        </w:rPr>
        <w:t xml:space="preserve"> Human Rights Council resolution 30/1 of 1 October 2015 on promoting reconciliation, accountability and human rights in Sri Lanka,</w:t>
      </w:r>
      <w:r w:rsidR="00431131" w:rsidRPr="00CD1BEB" w:rsidDel="00431131">
        <w:rPr>
          <w:lang w:val="en-US"/>
        </w:rPr>
        <w:t xml:space="preserve"> </w:t>
      </w:r>
    </w:p>
    <w:p w14:paraId="731A77B0" w14:textId="4A106F5F" w:rsidR="00CD1BEB" w:rsidRPr="00CD1BEB" w:rsidRDefault="00CD1BEB" w:rsidP="00CD1BEB">
      <w:pPr>
        <w:pStyle w:val="SingleTxtG"/>
        <w:rPr>
          <w:i/>
          <w:iCs/>
          <w:lang w:val="en-US"/>
        </w:rPr>
      </w:pPr>
      <w:r>
        <w:rPr>
          <w:i/>
          <w:iCs/>
          <w:lang w:val="en-US"/>
        </w:rPr>
        <w:tab/>
      </w:r>
      <w:r w:rsidRPr="00CD1BEB">
        <w:rPr>
          <w:i/>
          <w:iCs/>
          <w:lang w:val="en-US"/>
        </w:rPr>
        <w:t xml:space="preserve">Recalling </w:t>
      </w:r>
      <w:r w:rsidRPr="00CD1BEB">
        <w:rPr>
          <w:iCs/>
          <w:lang w:val="en-US"/>
        </w:rPr>
        <w:t>Human Rights Council resolutions 19/2 of 22 March 2012, 22/1 of 21 March 2013</w:t>
      </w:r>
      <w:r w:rsidR="00431131">
        <w:rPr>
          <w:iCs/>
          <w:lang w:val="en-US"/>
        </w:rPr>
        <w:t xml:space="preserve"> and</w:t>
      </w:r>
      <w:r w:rsidRPr="00CD1BEB">
        <w:rPr>
          <w:iCs/>
          <w:lang w:val="en-US"/>
        </w:rPr>
        <w:t xml:space="preserve"> 25/1 of 27 March 2014, </w:t>
      </w:r>
    </w:p>
    <w:p w14:paraId="596E9166" w14:textId="738D7EA1" w:rsidR="00CD1BEB" w:rsidRPr="00CD1BEB" w:rsidRDefault="00CD1BEB" w:rsidP="00CD1BEB">
      <w:pPr>
        <w:pStyle w:val="SingleTxtG"/>
        <w:rPr>
          <w:lang w:val="en-US"/>
        </w:rPr>
      </w:pPr>
      <w:r>
        <w:rPr>
          <w:i/>
          <w:iCs/>
          <w:lang w:val="en-US"/>
        </w:rPr>
        <w:tab/>
      </w:r>
      <w:r w:rsidRPr="00CD1BEB">
        <w:rPr>
          <w:i/>
          <w:iCs/>
          <w:lang w:val="en-US"/>
        </w:rPr>
        <w:t xml:space="preserve">Reaffirming </w:t>
      </w:r>
      <w:r w:rsidRPr="00CD1BEB">
        <w:rPr>
          <w:lang w:val="en-US"/>
        </w:rPr>
        <w:t xml:space="preserve">that it is the responsibility of each State to ensure the full enjoyment of all human rights and fundamental freedoms of its entire population, </w:t>
      </w:r>
    </w:p>
    <w:p w14:paraId="01CCD6A4" w14:textId="163FCEA4" w:rsidR="00CD1BEB" w:rsidRPr="00CD1BEB" w:rsidRDefault="00CD1BEB" w:rsidP="00CD1BEB">
      <w:pPr>
        <w:pStyle w:val="SingleTxtG"/>
        <w:rPr>
          <w:lang w:val="en-US"/>
        </w:rPr>
      </w:pPr>
      <w:r>
        <w:rPr>
          <w:i/>
          <w:lang w:val="en-US"/>
        </w:rPr>
        <w:tab/>
      </w:r>
      <w:r w:rsidRPr="00CD1BEB">
        <w:rPr>
          <w:i/>
          <w:lang w:val="en-US"/>
        </w:rPr>
        <w:t>Reaffirming</w:t>
      </w:r>
      <w:r w:rsidR="00431131">
        <w:rPr>
          <w:i/>
          <w:lang w:val="en-US"/>
        </w:rPr>
        <w:t xml:space="preserve"> also</w:t>
      </w:r>
      <w:r w:rsidRPr="00CD1BEB">
        <w:rPr>
          <w:lang w:val="en-US"/>
        </w:rPr>
        <w:t xml:space="preserve"> its commitment to the sovereignty, independence, unity and territorial integrity of Sri Lanka, </w:t>
      </w:r>
    </w:p>
    <w:p w14:paraId="2A530A3A" w14:textId="7742CEC0" w:rsidR="00CD1BEB" w:rsidRPr="00CD1BEB" w:rsidRDefault="00CD1BEB" w:rsidP="00563053">
      <w:pPr>
        <w:pStyle w:val="SingleTxtG"/>
        <w:ind w:firstLine="567"/>
        <w:rPr>
          <w:iCs/>
          <w:lang w:val="en-US"/>
        </w:rPr>
      </w:pPr>
      <w:r w:rsidRPr="00CD1BEB">
        <w:rPr>
          <w:i/>
          <w:iCs/>
          <w:lang w:val="en-US"/>
        </w:rPr>
        <w:t>Welcoming</w:t>
      </w:r>
      <w:r w:rsidRPr="00CD1BEB">
        <w:rPr>
          <w:iCs/>
          <w:lang w:val="en-US"/>
        </w:rPr>
        <w:t xml:space="preserve"> the visits </w:t>
      </w:r>
      <w:r w:rsidR="00431131">
        <w:rPr>
          <w:iCs/>
          <w:lang w:val="en-US"/>
        </w:rPr>
        <w:t xml:space="preserve">made </w:t>
      </w:r>
      <w:r w:rsidRPr="00CD1BEB">
        <w:rPr>
          <w:iCs/>
          <w:lang w:val="en-US"/>
        </w:rPr>
        <w:t>to Sri Lanka by the United Nations High Commissioner for Human Rights</w:t>
      </w:r>
      <w:r w:rsidR="00431131">
        <w:rPr>
          <w:iCs/>
          <w:lang w:val="en-US"/>
        </w:rPr>
        <w:t>,</w:t>
      </w:r>
      <w:r w:rsidRPr="00CD1BEB">
        <w:rPr>
          <w:iCs/>
          <w:lang w:val="en-US"/>
        </w:rPr>
        <w:t xml:space="preserve"> </w:t>
      </w:r>
      <w:r w:rsidR="00431131" w:rsidRPr="00CD1BEB">
        <w:rPr>
          <w:iCs/>
          <w:lang w:val="en-US"/>
        </w:rPr>
        <w:t>from 6 to 9 February 2016</w:t>
      </w:r>
      <w:r w:rsidR="00431131">
        <w:rPr>
          <w:iCs/>
          <w:lang w:val="en-US"/>
        </w:rPr>
        <w:t>,</w:t>
      </w:r>
      <w:r w:rsidR="00431131" w:rsidRPr="00CD1BEB">
        <w:rPr>
          <w:iCs/>
          <w:lang w:val="en-US"/>
        </w:rPr>
        <w:t xml:space="preserve"> </w:t>
      </w:r>
      <w:r w:rsidRPr="00CD1BEB">
        <w:rPr>
          <w:iCs/>
          <w:lang w:val="en-US"/>
        </w:rPr>
        <w:t>and by the Secretary-General</w:t>
      </w:r>
      <w:r w:rsidR="00431131">
        <w:rPr>
          <w:iCs/>
          <w:lang w:val="en-US"/>
        </w:rPr>
        <w:t>,</w:t>
      </w:r>
      <w:r w:rsidR="00431131" w:rsidRPr="00431131">
        <w:rPr>
          <w:iCs/>
          <w:lang w:val="en-US"/>
        </w:rPr>
        <w:t xml:space="preserve"> </w:t>
      </w:r>
      <w:r w:rsidR="00431131" w:rsidRPr="00CD1BEB">
        <w:rPr>
          <w:iCs/>
          <w:lang w:val="en-US"/>
        </w:rPr>
        <w:t>from 31 August to 2 September 2016</w:t>
      </w:r>
      <w:r w:rsidRPr="00CD1BEB">
        <w:rPr>
          <w:iCs/>
          <w:lang w:val="en-US"/>
        </w:rPr>
        <w:t>,</w:t>
      </w:r>
      <w:r w:rsidRPr="00CD1BEB">
        <w:rPr>
          <w:i/>
          <w:iCs/>
          <w:lang w:val="en-US"/>
        </w:rPr>
        <w:t xml:space="preserve"> </w:t>
      </w:r>
    </w:p>
    <w:p w14:paraId="4EBC12D6" w14:textId="348F47E2" w:rsidR="00CD1BEB" w:rsidRPr="00CD1BEB" w:rsidRDefault="00CD1BEB" w:rsidP="00CD1BEB">
      <w:pPr>
        <w:pStyle w:val="SingleTxtG"/>
        <w:rPr>
          <w:bCs/>
          <w:lang w:val="en-US"/>
        </w:rPr>
      </w:pPr>
      <w:r>
        <w:rPr>
          <w:i/>
          <w:iCs/>
          <w:lang w:val="en-US"/>
        </w:rPr>
        <w:tab/>
      </w:r>
      <w:r w:rsidRPr="00CD1BEB">
        <w:rPr>
          <w:i/>
          <w:iCs/>
          <w:lang w:val="en-US"/>
        </w:rPr>
        <w:t xml:space="preserve">Welcoming also </w:t>
      </w:r>
      <w:r w:rsidRPr="00CD1BEB">
        <w:rPr>
          <w:lang w:val="en-US"/>
        </w:rPr>
        <w:t xml:space="preserve">the visit </w:t>
      </w:r>
      <w:r w:rsidR="00431131">
        <w:rPr>
          <w:lang w:val="en-US"/>
        </w:rPr>
        <w:t xml:space="preserve">made </w:t>
      </w:r>
      <w:r w:rsidRPr="00CD1BEB">
        <w:rPr>
          <w:lang w:val="en-US"/>
        </w:rPr>
        <w:t xml:space="preserve">by the Working Group on </w:t>
      </w:r>
      <w:r w:rsidR="00431131">
        <w:rPr>
          <w:lang w:val="en-US"/>
        </w:rPr>
        <w:t>E</w:t>
      </w:r>
      <w:r w:rsidRPr="00CD1BEB">
        <w:rPr>
          <w:lang w:val="en-US"/>
        </w:rPr>
        <w:t xml:space="preserve">nforced or </w:t>
      </w:r>
      <w:r w:rsidR="00431131">
        <w:rPr>
          <w:lang w:val="en-US"/>
        </w:rPr>
        <w:t>I</w:t>
      </w:r>
      <w:r w:rsidRPr="00CD1BEB">
        <w:rPr>
          <w:lang w:val="en-US"/>
        </w:rPr>
        <w:t xml:space="preserve">nvoluntary </w:t>
      </w:r>
      <w:r w:rsidR="00431131">
        <w:rPr>
          <w:lang w:val="en-US"/>
        </w:rPr>
        <w:t>D</w:t>
      </w:r>
      <w:r w:rsidRPr="00CD1BEB">
        <w:rPr>
          <w:lang w:val="en-US"/>
        </w:rPr>
        <w:t>isappearances</w:t>
      </w:r>
      <w:r w:rsidR="00431131" w:rsidRPr="00431131">
        <w:rPr>
          <w:lang w:val="en-US"/>
        </w:rPr>
        <w:t xml:space="preserve"> </w:t>
      </w:r>
      <w:r w:rsidR="00431131" w:rsidRPr="00CD1BEB">
        <w:rPr>
          <w:lang w:val="en-US"/>
        </w:rPr>
        <w:t>from 9 to 18 November 2015</w:t>
      </w:r>
      <w:r w:rsidRPr="00CD1BEB">
        <w:rPr>
          <w:lang w:val="en-US"/>
        </w:rPr>
        <w:t xml:space="preserve">, the </w:t>
      </w:r>
      <w:r w:rsidR="00B12D8C">
        <w:rPr>
          <w:lang w:val="en-US"/>
        </w:rPr>
        <w:t xml:space="preserve">advisory </w:t>
      </w:r>
      <w:r w:rsidRPr="00CD1BEB">
        <w:rPr>
          <w:lang w:val="en-US"/>
        </w:rPr>
        <w:t>visit</w:t>
      </w:r>
      <w:r w:rsidR="00431131">
        <w:rPr>
          <w:lang w:val="en-US"/>
        </w:rPr>
        <w:t>s made</w:t>
      </w:r>
      <w:r w:rsidRPr="00CD1BEB">
        <w:rPr>
          <w:lang w:val="en-US"/>
        </w:rPr>
        <w:t xml:space="preserve"> by the Special Rapporteur on the promotion of truth, justice, reparation and guarantees of non-recurrence, </w:t>
      </w:r>
      <w:r w:rsidRPr="00CD1BEB">
        <w:rPr>
          <w:lang w:val="en-US"/>
        </w:rPr>
        <w:lastRenderedPageBreak/>
        <w:t>the joint visit by</w:t>
      </w:r>
      <w:r w:rsidRPr="00CD1BEB">
        <w:rPr>
          <w:b/>
          <w:lang w:val="en-US"/>
        </w:rPr>
        <w:t xml:space="preserve"> </w:t>
      </w:r>
      <w:r w:rsidRPr="00CD1BEB">
        <w:rPr>
          <w:bCs/>
          <w:lang w:val="en-US"/>
        </w:rPr>
        <w:t xml:space="preserve">the Special Rapporteur on the independence of judges and lawyers and the Special Rapporteur on torture and other cruel, inhuman or degrading treatment or punishment </w:t>
      </w:r>
      <w:r w:rsidR="00431131" w:rsidRPr="00CD1BEB">
        <w:rPr>
          <w:lang w:val="en-US"/>
        </w:rPr>
        <w:t>from 29 April to 9 May 2016</w:t>
      </w:r>
      <w:r w:rsidR="00431131">
        <w:rPr>
          <w:lang w:val="en-US"/>
        </w:rPr>
        <w:t>,</w:t>
      </w:r>
      <w:r w:rsidR="00431131" w:rsidRPr="00CD1BEB">
        <w:rPr>
          <w:lang w:val="en-US"/>
        </w:rPr>
        <w:t xml:space="preserve"> </w:t>
      </w:r>
      <w:r w:rsidRPr="00CD1BEB">
        <w:rPr>
          <w:bCs/>
          <w:lang w:val="en-US"/>
        </w:rPr>
        <w:t xml:space="preserve">and the visit by the Special Rapporteur on </w:t>
      </w:r>
      <w:r w:rsidR="00431131">
        <w:rPr>
          <w:bCs/>
          <w:lang w:val="en-US"/>
        </w:rPr>
        <w:t>m</w:t>
      </w:r>
      <w:r w:rsidRPr="00CD1BEB">
        <w:rPr>
          <w:bCs/>
          <w:lang w:val="en-US"/>
        </w:rPr>
        <w:t xml:space="preserve">inority </w:t>
      </w:r>
      <w:r w:rsidR="00431131">
        <w:rPr>
          <w:bCs/>
          <w:lang w:val="en-US"/>
        </w:rPr>
        <w:t>i</w:t>
      </w:r>
      <w:r w:rsidRPr="00CD1BEB">
        <w:rPr>
          <w:bCs/>
          <w:lang w:val="en-US"/>
        </w:rPr>
        <w:t>ssues</w:t>
      </w:r>
      <w:r w:rsidR="00431131" w:rsidRPr="00431131">
        <w:rPr>
          <w:bCs/>
          <w:lang w:val="en-US"/>
        </w:rPr>
        <w:t xml:space="preserve"> </w:t>
      </w:r>
      <w:r w:rsidR="00431131" w:rsidRPr="00CD1BEB">
        <w:rPr>
          <w:bCs/>
          <w:lang w:val="en-US"/>
        </w:rPr>
        <w:t>from 10 to 20 October 2016</w:t>
      </w:r>
      <w:r w:rsidRPr="00CD1BEB">
        <w:rPr>
          <w:bCs/>
          <w:lang w:val="en-US"/>
        </w:rPr>
        <w:t xml:space="preserve">, </w:t>
      </w:r>
    </w:p>
    <w:p w14:paraId="202B7C54" w14:textId="6D1B01CB" w:rsidR="00CD1BEB" w:rsidRPr="00CD1BEB" w:rsidRDefault="00CD1BEB" w:rsidP="00CD1BEB">
      <w:pPr>
        <w:pStyle w:val="SingleTxtG"/>
        <w:rPr>
          <w:lang w:val="en-US"/>
        </w:rPr>
      </w:pPr>
      <w:r>
        <w:rPr>
          <w:i/>
          <w:iCs/>
          <w:lang w:val="en-US"/>
        </w:rPr>
        <w:tab/>
      </w:r>
      <w:r w:rsidRPr="00CD1BEB">
        <w:rPr>
          <w:i/>
          <w:iCs/>
          <w:lang w:val="en-US"/>
        </w:rPr>
        <w:t>Welcoming</w:t>
      </w:r>
      <w:r w:rsidR="00431131">
        <w:rPr>
          <w:i/>
          <w:iCs/>
          <w:lang w:val="en-US"/>
        </w:rPr>
        <w:t xml:space="preserve"> further</w:t>
      </w:r>
      <w:r w:rsidRPr="00CD1BEB">
        <w:rPr>
          <w:i/>
          <w:iCs/>
          <w:lang w:val="en-US"/>
        </w:rPr>
        <w:t xml:space="preserve"> </w:t>
      </w:r>
      <w:r w:rsidRPr="00CD1BEB">
        <w:rPr>
          <w:lang w:val="en-US"/>
        </w:rPr>
        <w:t>the steps taken by the Government of Sri Lanka to implement Human Rights Council resolution 30/1, and recognizing in this context the need for further significant progress,</w:t>
      </w:r>
    </w:p>
    <w:p w14:paraId="3F4D5B29" w14:textId="4FFA2B4F" w:rsidR="00CD1BEB" w:rsidRPr="00CD1BEB" w:rsidRDefault="00CD1BEB" w:rsidP="00CD1BEB">
      <w:pPr>
        <w:pStyle w:val="SingleTxtG"/>
        <w:rPr>
          <w:lang w:val="en-US"/>
        </w:rPr>
      </w:pPr>
      <w:r>
        <w:rPr>
          <w:lang w:val="en-US"/>
        </w:rPr>
        <w:tab/>
        <w:t>1.</w:t>
      </w:r>
      <w:r>
        <w:rPr>
          <w:lang w:val="en-US"/>
        </w:rPr>
        <w:tab/>
      </w:r>
      <w:r w:rsidRPr="00CD1BEB">
        <w:rPr>
          <w:i/>
          <w:lang w:val="en-US"/>
        </w:rPr>
        <w:t xml:space="preserve">Takes </w:t>
      </w:r>
      <w:r w:rsidR="00431131">
        <w:rPr>
          <w:i/>
          <w:lang w:val="en-US"/>
        </w:rPr>
        <w:t>n</w:t>
      </w:r>
      <w:r w:rsidRPr="00CD1BEB">
        <w:rPr>
          <w:i/>
          <w:lang w:val="en-US"/>
        </w:rPr>
        <w:t xml:space="preserve">ote with </w:t>
      </w:r>
      <w:r w:rsidR="00431131">
        <w:rPr>
          <w:i/>
          <w:lang w:val="en-US"/>
        </w:rPr>
        <w:t>a</w:t>
      </w:r>
      <w:r w:rsidRPr="00CD1BEB">
        <w:rPr>
          <w:i/>
          <w:lang w:val="en-US"/>
        </w:rPr>
        <w:t>ppreciation</w:t>
      </w:r>
      <w:r w:rsidRPr="00CD1BEB">
        <w:rPr>
          <w:lang w:val="en-US"/>
        </w:rPr>
        <w:t xml:space="preserve"> </w:t>
      </w:r>
      <w:r w:rsidR="00431131">
        <w:rPr>
          <w:lang w:val="en-US"/>
        </w:rPr>
        <w:t xml:space="preserve">of </w:t>
      </w:r>
      <w:r w:rsidRPr="00CD1BEB">
        <w:rPr>
          <w:lang w:val="en-US"/>
        </w:rPr>
        <w:t xml:space="preserve">the comprehensive report presented by the United Nations High Commissioner </w:t>
      </w:r>
      <w:r w:rsidR="001727CB">
        <w:rPr>
          <w:lang w:val="en-US"/>
        </w:rPr>
        <w:t xml:space="preserve">for Human Rights </w:t>
      </w:r>
      <w:r w:rsidRPr="00CD1BEB">
        <w:rPr>
          <w:lang w:val="en-US"/>
        </w:rPr>
        <w:t>to the Human Rights Council at its thirty-fourth session, as requested by the Council in its resolution 30/1,</w:t>
      </w:r>
      <w:r w:rsidR="009B21FC">
        <w:rPr>
          <w:rStyle w:val="FootnoteReference"/>
          <w:lang w:val="en-US"/>
        </w:rPr>
        <w:footnoteReference w:id="3"/>
      </w:r>
      <w:r w:rsidRPr="00CD1BEB">
        <w:rPr>
          <w:lang w:val="en-US"/>
        </w:rPr>
        <w:t xml:space="preserve"> and requests the Government of Sri Lanka to implement </w:t>
      </w:r>
      <w:r w:rsidR="00431131" w:rsidRPr="00CD1BEB">
        <w:rPr>
          <w:lang w:val="en-US"/>
        </w:rPr>
        <w:t xml:space="preserve">fully </w:t>
      </w:r>
      <w:r w:rsidRPr="00CD1BEB">
        <w:rPr>
          <w:lang w:val="en-US"/>
        </w:rPr>
        <w:t xml:space="preserve">the measures identified </w:t>
      </w:r>
      <w:r w:rsidR="00431131">
        <w:rPr>
          <w:lang w:val="en-US"/>
        </w:rPr>
        <w:t xml:space="preserve">by the </w:t>
      </w:r>
      <w:r w:rsidRPr="00CD1BEB">
        <w:rPr>
          <w:lang w:val="en-US"/>
        </w:rPr>
        <w:t xml:space="preserve">Council </w:t>
      </w:r>
      <w:r w:rsidR="00431131">
        <w:rPr>
          <w:lang w:val="en-US"/>
        </w:rPr>
        <w:t xml:space="preserve">in its </w:t>
      </w:r>
      <w:r w:rsidRPr="00CD1BEB">
        <w:rPr>
          <w:lang w:val="en-US"/>
        </w:rPr>
        <w:t xml:space="preserve">resolution 30/1 that are outstanding; </w:t>
      </w:r>
    </w:p>
    <w:p w14:paraId="15AF1A06" w14:textId="06A21287" w:rsidR="00CD1BEB" w:rsidRPr="00CD1BEB" w:rsidRDefault="00CD1BEB" w:rsidP="00CD1BEB">
      <w:pPr>
        <w:pStyle w:val="SingleTxtG"/>
        <w:rPr>
          <w:lang w:val="en-US"/>
        </w:rPr>
      </w:pPr>
      <w:r>
        <w:rPr>
          <w:lang w:val="en-US"/>
        </w:rPr>
        <w:tab/>
      </w:r>
      <w:r w:rsidRPr="00CD1BEB">
        <w:rPr>
          <w:lang w:val="en-US"/>
        </w:rPr>
        <w:t>2.</w:t>
      </w:r>
      <w:r>
        <w:rPr>
          <w:lang w:val="en-US"/>
        </w:rPr>
        <w:tab/>
      </w:r>
      <w:r w:rsidRPr="00CD1BEB">
        <w:rPr>
          <w:i/>
          <w:iCs/>
          <w:lang w:val="en-US"/>
        </w:rPr>
        <w:t xml:space="preserve">Welcomes </w:t>
      </w:r>
      <w:r w:rsidRPr="00CD1BEB">
        <w:rPr>
          <w:lang w:val="en-US"/>
        </w:rPr>
        <w:t xml:space="preserve">the positive engagement </w:t>
      </w:r>
      <w:r w:rsidR="00431131">
        <w:rPr>
          <w:lang w:val="en-US"/>
        </w:rPr>
        <w:t>of</w:t>
      </w:r>
      <w:r w:rsidR="00431131" w:rsidRPr="00CD1BEB">
        <w:rPr>
          <w:lang w:val="en-US"/>
        </w:rPr>
        <w:t xml:space="preserve"> </w:t>
      </w:r>
      <w:r w:rsidRPr="00CD1BEB">
        <w:rPr>
          <w:lang w:val="en-US"/>
        </w:rPr>
        <w:t xml:space="preserve">the Government of Sri Lanka </w:t>
      </w:r>
      <w:r w:rsidR="00431131">
        <w:rPr>
          <w:lang w:val="en-US"/>
        </w:rPr>
        <w:t xml:space="preserve">with </w:t>
      </w:r>
      <w:r w:rsidRPr="00CD1BEB">
        <w:rPr>
          <w:lang w:val="en-US"/>
        </w:rPr>
        <w:t xml:space="preserve">the High Commissioner and the Office of the High Commissioner since October 2015, </w:t>
      </w:r>
      <w:r w:rsidR="00431131">
        <w:rPr>
          <w:lang w:val="en-US"/>
        </w:rPr>
        <w:t xml:space="preserve">and with </w:t>
      </w:r>
      <w:r w:rsidRPr="00CD1BEB">
        <w:rPr>
          <w:lang w:val="en-US"/>
        </w:rPr>
        <w:t>relevant special procedure mandate holders, and encourages the continuation of that engagement in the promotion and protection of human rights and truth, justice, reconciliation and accountability in Sri Lanka;</w:t>
      </w:r>
    </w:p>
    <w:p w14:paraId="798621C2" w14:textId="12AD6903" w:rsidR="00CD1BEB" w:rsidRPr="00CD1BEB" w:rsidRDefault="00CD1BEB" w:rsidP="00CD1BEB">
      <w:pPr>
        <w:pStyle w:val="SingleTxtG"/>
        <w:rPr>
          <w:lang w:val="en-US"/>
        </w:rPr>
      </w:pPr>
      <w:r>
        <w:rPr>
          <w:lang w:val="en-US"/>
        </w:rPr>
        <w:tab/>
      </w:r>
      <w:r w:rsidRPr="00CD1BEB">
        <w:rPr>
          <w:lang w:val="en-US"/>
        </w:rPr>
        <w:t>3</w:t>
      </w:r>
      <w:r>
        <w:rPr>
          <w:lang w:val="en-US"/>
        </w:rPr>
        <w:t>.</w:t>
      </w:r>
      <w:r>
        <w:rPr>
          <w:lang w:val="en-US"/>
        </w:rPr>
        <w:tab/>
      </w:r>
      <w:r w:rsidRPr="00CD1BEB">
        <w:rPr>
          <w:i/>
          <w:iCs/>
          <w:lang w:val="en-US"/>
        </w:rPr>
        <w:t xml:space="preserve">Requests </w:t>
      </w:r>
      <w:r w:rsidRPr="00CD1BEB">
        <w:rPr>
          <w:lang w:val="en-US"/>
        </w:rPr>
        <w:t xml:space="preserve">the Office of the High Commissioner and relevant </w:t>
      </w:r>
      <w:bookmarkStart w:id="0" w:name="_GoBack"/>
      <w:r w:rsidRPr="00CD1BEB">
        <w:rPr>
          <w:lang w:val="en-US"/>
        </w:rPr>
        <w:t>special procedure mandate holders</w:t>
      </w:r>
      <w:bookmarkEnd w:id="0"/>
      <w:r w:rsidRPr="00CD1BEB">
        <w:rPr>
          <w:lang w:val="en-US"/>
        </w:rPr>
        <w:t xml:space="preserve">, in consultation with and with the concurrence of the Government of Sri Lanka, to strengthen their advice and technical assistance on the promotion and protection of human rights and truth, justice, reconciliation and accountability in Sri Lanka; </w:t>
      </w:r>
    </w:p>
    <w:p w14:paraId="29C9F78E" w14:textId="21A252C3" w:rsidR="00CD1BEB" w:rsidRPr="00CD1BEB" w:rsidRDefault="00CD1BEB" w:rsidP="00CD1BEB">
      <w:pPr>
        <w:pStyle w:val="SingleTxtG"/>
        <w:rPr>
          <w:lang w:val="en-US"/>
        </w:rPr>
      </w:pPr>
      <w:r>
        <w:rPr>
          <w:lang w:val="en-US"/>
        </w:rPr>
        <w:tab/>
      </w:r>
      <w:r w:rsidRPr="00CD1BEB">
        <w:rPr>
          <w:lang w:val="en-US"/>
        </w:rPr>
        <w:t>4.</w:t>
      </w:r>
      <w:r>
        <w:rPr>
          <w:lang w:val="en-US"/>
        </w:rPr>
        <w:tab/>
      </w:r>
      <w:r w:rsidRPr="00CD1BEB">
        <w:rPr>
          <w:i/>
          <w:iCs/>
          <w:lang w:val="en-US"/>
        </w:rPr>
        <w:t xml:space="preserve">Requests </w:t>
      </w:r>
      <w:r w:rsidRPr="00CD1BEB">
        <w:rPr>
          <w:lang w:val="en-US"/>
        </w:rPr>
        <w:t>the Office of the High Commissioner to continue to assess progress on the implementation of its recommendations and other relevant processes related to reconciliation, accountability and human rights in Sri Lanka, and to present a written update to the Human Rights Council at its thirty-seventh session, and a comprehensive report</w:t>
      </w:r>
      <w:r w:rsidR="009B21FC">
        <w:rPr>
          <w:lang w:val="en-US"/>
        </w:rPr>
        <w:t>,</w:t>
      </w:r>
      <w:r w:rsidRPr="00CD1BEB">
        <w:rPr>
          <w:lang w:val="en-US"/>
        </w:rPr>
        <w:t xml:space="preserve"> followed by </w:t>
      </w:r>
      <w:r w:rsidR="009B21FC">
        <w:rPr>
          <w:lang w:val="en-US"/>
        </w:rPr>
        <w:t xml:space="preserve">a </w:t>
      </w:r>
      <w:r w:rsidRPr="00CD1BEB">
        <w:rPr>
          <w:lang w:val="en-US"/>
        </w:rPr>
        <w:t xml:space="preserve">discussion on the implementation of </w:t>
      </w:r>
      <w:r w:rsidR="00431131">
        <w:rPr>
          <w:lang w:val="en-US"/>
        </w:rPr>
        <w:t xml:space="preserve">Council </w:t>
      </w:r>
      <w:r w:rsidRPr="00CD1BEB">
        <w:rPr>
          <w:lang w:val="en-US"/>
        </w:rPr>
        <w:t>resolution 30/1</w:t>
      </w:r>
      <w:r w:rsidR="009B21FC">
        <w:rPr>
          <w:lang w:val="en-US"/>
        </w:rPr>
        <w:t>,</w:t>
      </w:r>
      <w:r w:rsidRPr="00CD1BEB">
        <w:rPr>
          <w:lang w:val="en-US"/>
        </w:rPr>
        <w:t xml:space="preserve"> at its fortieth session.</w:t>
      </w:r>
    </w:p>
    <w:p w14:paraId="442AC19A" w14:textId="77777777" w:rsidR="00FE7BB7" w:rsidRPr="008556E5" w:rsidRDefault="008556E5" w:rsidP="008556E5">
      <w:pPr>
        <w:spacing w:before="240"/>
        <w:ind w:left="1134" w:right="1134"/>
        <w:jc w:val="center"/>
        <w:rPr>
          <w:rFonts w:eastAsia="SimSun"/>
          <w:u w:val="single"/>
        </w:rPr>
      </w:pPr>
      <w:r>
        <w:rPr>
          <w:rFonts w:eastAsia="SimSun"/>
          <w:u w:val="single"/>
        </w:rPr>
        <w:tab/>
      </w:r>
      <w:r>
        <w:rPr>
          <w:rFonts w:eastAsia="SimSun"/>
          <w:u w:val="single"/>
        </w:rPr>
        <w:tab/>
      </w:r>
      <w:r>
        <w:rPr>
          <w:rFonts w:eastAsia="SimSun"/>
          <w:u w:val="single"/>
        </w:rPr>
        <w:tab/>
      </w:r>
    </w:p>
    <w:sectPr w:rsidR="00FE7BB7" w:rsidRPr="008556E5" w:rsidSect="00966A88">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74764" w14:textId="77777777" w:rsidR="007152BB" w:rsidRDefault="007152BB"/>
  </w:endnote>
  <w:endnote w:type="continuationSeparator" w:id="0">
    <w:p w14:paraId="79885572" w14:textId="77777777" w:rsidR="007152BB" w:rsidRDefault="007152BB"/>
  </w:endnote>
  <w:endnote w:type="continuationNotice" w:id="1">
    <w:p w14:paraId="66C17249" w14:textId="77777777" w:rsidR="007152BB" w:rsidRDefault="0071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C141C" w14:textId="0DFE54D4" w:rsidR="001712FF" w:rsidRPr="001D18FE" w:rsidRDefault="008C7402" w:rsidP="001D18FE">
    <w:pPr>
      <w:pStyle w:val="Footer"/>
      <w:tabs>
        <w:tab w:val="right" w:pos="9638"/>
      </w:tabs>
    </w:pPr>
    <w:r>
      <w:fldChar w:fldCharType="begin"/>
    </w:r>
    <w:r>
      <w:instrText xml:space="preserve"> PAGE  \* MERGEFORMAT </w:instrText>
    </w:r>
    <w:r>
      <w:fldChar w:fldCharType="separate"/>
    </w:r>
    <w:r w:rsidR="00F85047" w:rsidRPr="00F85047">
      <w:rPr>
        <w:b/>
        <w:noProof/>
        <w:sz w:val="18"/>
      </w:rPr>
      <w:t>2</w:t>
    </w:r>
    <w:r>
      <w:rPr>
        <w:b/>
        <w:noProof/>
        <w:sz w:val="18"/>
      </w:rPr>
      <w:fldChar w:fldCharType="end"/>
    </w:r>
    <w:r w:rsidR="001712FF">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F892" w14:textId="77777777" w:rsidR="001712FF" w:rsidRPr="001D18FE" w:rsidRDefault="001712FF" w:rsidP="001D18FE">
    <w:pPr>
      <w:pStyle w:val="Footer"/>
      <w:tabs>
        <w:tab w:val="right" w:pos="9638"/>
      </w:tabs>
      <w:rPr>
        <w:b/>
        <w:sz w:val="18"/>
      </w:rPr>
    </w:pPr>
    <w:r>
      <w:tab/>
    </w:r>
    <w:r w:rsidR="008C7402">
      <w:fldChar w:fldCharType="begin"/>
    </w:r>
    <w:r w:rsidR="008C7402">
      <w:instrText xml:space="preserve"> PAGE  \* MERGEFORMAT </w:instrText>
    </w:r>
    <w:r w:rsidR="008C7402">
      <w:fldChar w:fldCharType="separate"/>
    </w:r>
    <w:r w:rsidR="00CD1BEB" w:rsidRPr="00CD1BEB">
      <w:rPr>
        <w:b/>
        <w:noProof/>
        <w:sz w:val="18"/>
      </w:rPr>
      <w:t>3</w:t>
    </w:r>
    <w:r w:rsidR="008C7402">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051B9" w14:textId="2B80F4B0" w:rsidR="000400EF" w:rsidRDefault="000400EF" w:rsidP="000400EF">
    <w:pPr>
      <w:pStyle w:val="Footer"/>
    </w:pPr>
    <w:r>
      <w:rPr>
        <w:rFonts w:ascii="C39T30Lfz" w:hAnsi="C39T30Lfz"/>
        <w:noProof/>
        <w:sz w:val="56"/>
        <w:lang w:eastAsia="en-GB"/>
      </w:rPr>
      <w:drawing>
        <wp:anchor distT="0" distB="0" distL="114300" distR="114300" simplePos="0" relativeHeight="251660288" behindDoc="0" locked="0" layoutInCell="1" allowOverlap="1" wp14:anchorId="0935EA79" wp14:editId="0D37D277">
          <wp:simplePos x="0" y="0"/>
          <wp:positionH relativeFrom="margin">
            <wp:posOffset>5489575</wp:posOffset>
          </wp:positionH>
          <wp:positionV relativeFrom="margin">
            <wp:posOffset>8100060</wp:posOffset>
          </wp:positionV>
          <wp:extent cx="627380" cy="627380"/>
          <wp:effectExtent l="0" t="0" r="1270" b="1270"/>
          <wp:wrapNone/>
          <wp:docPr id="2" name="Picture 1" descr="http://undocs.org/m2/QRCode.ashx?DS=A/HRC/34/L.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34/L.1&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1" layoutInCell="1" allowOverlap="1" wp14:anchorId="34550FF4" wp14:editId="0D9F095C">
          <wp:simplePos x="0" y="0"/>
          <wp:positionH relativeFrom="margin">
            <wp:posOffset>4444365</wp:posOffset>
          </wp:positionH>
          <wp:positionV relativeFrom="margin">
            <wp:posOffset>8272145</wp:posOffset>
          </wp:positionV>
          <wp:extent cx="933450" cy="228600"/>
          <wp:effectExtent l="0" t="0" r="0" b="0"/>
          <wp:wrapNone/>
          <wp:docPr id="5" name="Picture 5"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D2E85C" w14:textId="2B3D9A72" w:rsidR="000400EF" w:rsidRDefault="000400EF" w:rsidP="000400EF">
    <w:pPr>
      <w:pStyle w:val="Footer"/>
      <w:ind w:right="1134"/>
      <w:rPr>
        <w:sz w:val="20"/>
      </w:rPr>
    </w:pPr>
    <w:r>
      <w:rPr>
        <w:sz w:val="20"/>
      </w:rPr>
      <w:t>GE.17-04174(E)</w:t>
    </w:r>
  </w:p>
  <w:p w14:paraId="755ADEC7" w14:textId="29227F78" w:rsidR="000400EF" w:rsidRPr="000400EF" w:rsidRDefault="000400EF" w:rsidP="000400E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193DA" w14:textId="77777777" w:rsidR="007152BB" w:rsidRPr="000B175B" w:rsidRDefault="007152BB" w:rsidP="000B175B">
      <w:pPr>
        <w:tabs>
          <w:tab w:val="right" w:pos="2155"/>
        </w:tabs>
        <w:spacing w:after="80"/>
        <w:ind w:left="680"/>
        <w:rPr>
          <w:u w:val="single"/>
        </w:rPr>
      </w:pPr>
      <w:r>
        <w:rPr>
          <w:u w:val="single"/>
        </w:rPr>
        <w:tab/>
      </w:r>
    </w:p>
  </w:footnote>
  <w:footnote w:type="continuationSeparator" w:id="0">
    <w:p w14:paraId="2022240B" w14:textId="77777777" w:rsidR="007152BB" w:rsidRPr="00FC68B7" w:rsidRDefault="007152BB" w:rsidP="00FC68B7">
      <w:pPr>
        <w:tabs>
          <w:tab w:val="left" w:pos="2155"/>
        </w:tabs>
        <w:spacing w:after="80"/>
        <w:ind w:left="680"/>
        <w:rPr>
          <w:u w:val="single"/>
        </w:rPr>
      </w:pPr>
      <w:r>
        <w:rPr>
          <w:u w:val="single"/>
        </w:rPr>
        <w:tab/>
      </w:r>
    </w:p>
  </w:footnote>
  <w:footnote w:type="continuationNotice" w:id="1">
    <w:p w14:paraId="5CD66227" w14:textId="77777777" w:rsidR="007152BB" w:rsidRDefault="007152BB"/>
  </w:footnote>
  <w:footnote w:id="2">
    <w:p w14:paraId="46BCD398" w14:textId="77777777" w:rsidR="00CD1BEB" w:rsidRPr="00CD1BEB" w:rsidRDefault="00CD1BEB">
      <w:pPr>
        <w:pStyle w:val="FootnoteText"/>
      </w:pPr>
      <w:r>
        <w:rPr>
          <w:rStyle w:val="FootnoteReference"/>
        </w:rPr>
        <w:tab/>
      </w:r>
      <w:r w:rsidRPr="00CD1BEB">
        <w:rPr>
          <w:rStyle w:val="FootnoteReference"/>
          <w:sz w:val="20"/>
          <w:vertAlign w:val="baseline"/>
        </w:rPr>
        <w:t>*</w:t>
      </w:r>
      <w:r>
        <w:rPr>
          <w:rStyle w:val="FootnoteReference"/>
          <w:sz w:val="20"/>
          <w:vertAlign w:val="baseline"/>
        </w:rPr>
        <w:tab/>
      </w:r>
      <w:r>
        <w:t>State no</w:t>
      </w:r>
      <w:r w:rsidR="00DD6070">
        <w:t>t</w:t>
      </w:r>
      <w:r>
        <w:t xml:space="preserve"> a member of the Human Rights Council.</w:t>
      </w:r>
    </w:p>
  </w:footnote>
  <w:footnote w:id="3">
    <w:p w14:paraId="550E40B7" w14:textId="77777777" w:rsidR="009B21FC" w:rsidRPr="00717DFD" w:rsidRDefault="009B21FC">
      <w:pPr>
        <w:pStyle w:val="FootnoteText"/>
        <w:rPr>
          <w:lang w:val="en-US"/>
        </w:rPr>
      </w:pPr>
      <w:r>
        <w:tab/>
      </w:r>
      <w:r>
        <w:rPr>
          <w:rStyle w:val="FootnoteReference"/>
        </w:rPr>
        <w:footnoteRef/>
      </w:r>
      <w:r>
        <w:t xml:space="preserve"> </w:t>
      </w:r>
      <w:r>
        <w:tab/>
      </w:r>
      <w:r>
        <w:rPr>
          <w:lang w:val="en-US"/>
        </w:rPr>
        <w:t>A/HRC/34/20.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1E81" w14:textId="77777777" w:rsidR="001712FF" w:rsidRPr="001D18FE" w:rsidRDefault="0084152F">
    <w:pPr>
      <w:pStyle w:val="Header"/>
    </w:pPr>
    <w:r>
      <w:t>A/HRC/3</w:t>
    </w:r>
    <w:r w:rsidR="003833B8">
      <w:t>4</w:t>
    </w:r>
    <w:r w:rsidR="001712FF">
      <w:t>/L.</w:t>
    </w:r>
    <w:r w:rsidR="00CD1BEB">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F58A3" w14:textId="77777777" w:rsidR="001712FF" w:rsidRPr="001D18FE" w:rsidRDefault="001712FF" w:rsidP="001D18FE">
    <w:pPr>
      <w:pStyle w:val="Header"/>
      <w:jc w:val="right"/>
    </w:pPr>
    <w:r>
      <w:t>A/HRC/3</w:t>
    </w:r>
    <w:r w:rsidR="0084152F">
      <w:t>1</w:t>
    </w:r>
    <w:r>
      <w:t>/L.</w:t>
    </w:r>
    <w:r w:rsidR="0084152F">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FE"/>
    <w:rsid w:val="00007F7F"/>
    <w:rsid w:val="00022DB5"/>
    <w:rsid w:val="00031875"/>
    <w:rsid w:val="000345B9"/>
    <w:rsid w:val="000400EF"/>
    <w:rsid w:val="000403D1"/>
    <w:rsid w:val="000449AA"/>
    <w:rsid w:val="00050F6B"/>
    <w:rsid w:val="00057304"/>
    <w:rsid w:val="000719AA"/>
    <w:rsid w:val="00072C8C"/>
    <w:rsid w:val="00073E70"/>
    <w:rsid w:val="000876EB"/>
    <w:rsid w:val="00091419"/>
    <w:rsid w:val="000931C0"/>
    <w:rsid w:val="000B175B"/>
    <w:rsid w:val="000B3A0F"/>
    <w:rsid w:val="000B4A3B"/>
    <w:rsid w:val="000D15D3"/>
    <w:rsid w:val="000D1851"/>
    <w:rsid w:val="000E0415"/>
    <w:rsid w:val="00146845"/>
    <w:rsid w:val="00146D32"/>
    <w:rsid w:val="001509BA"/>
    <w:rsid w:val="001712FF"/>
    <w:rsid w:val="001727CB"/>
    <w:rsid w:val="001733EF"/>
    <w:rsid w:val="00190FD6"/>
    <w:rsid w:val="0019131C"/>
    <w:rsid w:val="001B4B04"/>
    <w:rsid w:val="001C6663"/>
    <w:rsid w:val="001C7895"/>
    <w:rsid w:val="001D18FE"/>
    <w:rsid w:val="001D26DF"/>
    <w:rsid w:val="001D5557"/>
    <w:rsid w:val="001E2790"/>
    <w:rsid w:val="00211E0B"/>
    <w:rsid w:val="00211E72"/>
    <w:rsid w:val="00214047"/>
    <w:rsid w:val="00215FF2"/>
    <w:rsid w:val="0022130F"/>
    <w:rsid w:val="00237785"/>
    <w:rsid w:val="002410DD"/>
    <w:rsid w:val="00241466"/>
    <w:rsid w:val="0024152A"/>
    <w:rsid w:val="00253D58"/>
    <w:rsid w:val="0025791C"/>
    <w:rsid w:val="0027725F"/>
    <w:rsid w:val="002858FD"/>
    <w:rsid w:val="00287D9C"/>
    <w:rsid w:val="00296411"/>
    <w:rsid w:val="002A1A95"/>
    <w:rsid w:val="002B608F"/>
    <w:rsid w:val="002C21F0"/>
    <w:rsid w:val="002C7FF5"/>
    <w:rsid w:val="002D2A6F"/>
    <w:rsid w:val="003107FA"/>
    <w:rsid w:val="00314AFE"/>
    <w:rsid w:val="003229D8"/>
    <w:rsid w:val="003314D1"/>
    <w:rsid w:val="00335A2F"/>
    <w:rsid w:val="00341937"/>
    <w:rsid w:val="00372AA9"/>
    <w:rsid w:val="0037593E"/>
    <w:rsid w:val="003833B8"/>
    <w:rsid w:val="0039277A"/>
    <w:rsid w:val="003972E0"/>
    <w:rsid w:val="003975ED"/>
    <w:rsid w:val="003A05D2"/>
    <w:rsid w:val="003C2CC4"/>
    <w:rsid w:val="003D4B23"/>
    <w:rsid w:val="003E06E2"/>
    <w:rsid w:val="00424C80"/>
    <w:rsid w:val="00431131"/>
    <w:rsid w:val="004325CB"/>
    <w:rsid w:val="0044503A"/>
    <w:rsid w:val="00446DE4"/>
    <w:rsid w:val="00447761"/>
    <w:rsid w:val="00447FCF"/>
    <w:rsid w:val="00451EC3"/>
    <w:rsid w:val="00455C08"/>
    <w:rsid w:val="00465F8C"/>
    <w:rsid w:val="004721B1"/>
    <w:rsid w:val="004859EC"/>
    <w:rsid w:val="00496A15"/>
    <w:rsid w:val="00497118"/>
    <w:rsid w:val="004A6E6C"/>
    <w:rsid w:val="004B75D2"/>
    <w:rsid w:val="004B7DEC"/>
    <w:rsid w:val="004D1140"/>
    <w:rsid w:val="004F55ED"/>
    <w:rsid w:val="00503EAB"/>
    <w:rsid w:val="0052176C"/>
    <w:rsid w:val="0052388D"/>
    <w:rsid w:val="005261E5"/>
    <w:rsid w:val="005420F2"/>
    <w:rsid w:val="00542574"/>
    <w:rsid w:val="005436AB"/>
    <w:rsid w:val="005453D5"/>
    <w:rsid w:val="00546DBF"/>
    <w:rsid w:val="00550250"/>
    <w:rsid w:val="00552E7C"/>
    <w:rsid w:val="00553D76"/>
    <w:rsid w:val="005552B5"/>
    <w:rsid w:val="0056117B"/>
    <w:rsid w:val="00563053"/>
    <w:rsid w:val="00571365"/>
    <w:rsid w:val="00580C4D"/>
    <w:rsid w:val="00590138"/>
    <w:rsid w:val="005963A1"/>
    <w:rsid w:val="005A2AEA"/>
    <w:rsid w:val="005B3DB3"/>
    <w:rsid w:val="005B5282"/>
    <w:rsid w:val="005B6E48"/>
    <w:rsid w:val="005C18A1"/>
    <w:rsid w:val="005E0BEB"/>
    <w:rsid w:val="005E1712"/>
    <w:rsid w:val="00607B01"/>
    <w:rsid w:val="00611FC4"/>
    <w:rsid w:val="006176FB"/>
    <w:rsid w:val="00620148"/>
    <w:rsid w:val="00640B26"/>
    <w:rsid w:val="006616F2"/>
    <w:rsid w:val="00670741"/>
    <w:rsid w:val="006808A0"/>
    <w:rsid w:val="0068727A"/>
    <w:rsid w:val="00690F34"/>
    <w:rsid w:val="006922EF"/>
    <w:rsid w:val="00696BD6"/>
    <w:rsid w:val="006A2E20"/>
    <w:rsid w:val="006A6B9D"/>
    <w:rsid w:val="006A7392"/>
    <w:rsid w:val="006B3189"/>
    <w:rsid w:val="006B4DC3"/>
    <w:rsid w:val="006B7D65"/>
    <w:rsid w:val="006D6DA6"/>
    <w:rsid w:val="006E564B"/>
    <w:rsid w:val="006E6F6A"/>
    <w:rsid w:val="006F13F0"/>
    <w:rsid w:val="006F5035"/>
    <w:rsid w:val="007065EB"/>
    <w:rsid w:val="007152BB"/>
    <w:rsid w:val="00717DFD"/>
    <w:rsid w:val="00720183"/>
    <w:rsid w:val="0072632A"/>
    <w:rsid w:val="00727794"/>
    <w:rsid w:val="00731717"/>
    <w:rsid w:val="0074200B"/>
    <w:rsid w:val="00756E42"/>
    <w:rsid w:val="00797BE3"/>
    <w:rsid w:val="007A6296"/>
    <w:rsid w:val="007B0522"/>
    <w:rsid w:val="007B6691"/>
    <w:rsid w:val="007B6BA5"/>
    <w:rsid w:val="007C1B62"/>
    <w:rsid w:val="007C3390"/>
    <w:rsid w:val="007C4F4B"/>
    <w:rsid w:val="007D2CDC"/>
    <w:rsid w:val="007D5327"/>
    <w:rsid w:val="007E0550"/>
    <w:rsid w:val="007E33BE"/>
    <w:rsid w:val="007F4994"/>
    <w:rsid w:val="007F6611"/>
    <w:rsid w:val="008155C3"/>
    <w:rsid w:val="008175E9"/>
    <w:rsid w:val="0082243E"/>
    <w:rsid w:val="008242D7"/>
    <w:rsid w:val="00825EA7"/>
    <w:rsid w:val="00840BA1"/>
    <w:rsid w:val="0084152F"/>
    <w:rsid w:val="008445A1"/>
    <w:rsid w:val="008556E5"/>
    <w:rsid w:val="00856CD2"/>
    <w:rsid w:val="00861BC6"/>
    <w:rsid w:val="00871FD5"/>
    <w:rsid w:val="0087754C"/>
    <w:rsid w:val="008900FA"/>
    <w:rsid w:val="0089420F"/>
    <w:rsid w:val="008943CD"/>
    <w:rsid w:val="008979B1"/>
    <w:rsid w:val="008A0582"/>
    <w:rsid w:val="008A6B25"/>
    <w:rsid w:val="008A6C4F"/>
    <w:rsid w:val="008B420D"/>
    <w:rsid w:val="008C1E4D"/>
    <w:rsid w:val="008C7402"/>
    <w:rsid w:val="008D30F1"/>
    <w:rsid w:val="008E0E46"/>
    <w:rsid w:val="008E2854"/>
    <w:rsid w:val="008F2799"/>
    <w:rsid w:val="0090452C"/>
    <w:rsid w:val="0090714E"/>
    <w:rsid w:val="00907C3F"/>
    <w:rsid w:val="0092237C"/>
    <w:rsid w:val="0093707B"/>
    <w:rsid w:val="009400EB"/>
    <w:rsid w:val="009427E3"/>
    <w:rsid w:val="0095191D"/>
    <w:rsid w:val="00956D9B"/>
    <w:rsid w:val="00960091"/>
    <w:rsid w:val="00963CBA"/>
    <w:rsid w:val="00964F1D"/>
    <w:rsid w:val="009654B7"/>
    <w:rsid w:val="00966A88"/>
    <w:rsid w:val="00991261"/>
    <w:rsid w:val="009A0B83"/>
    <w:rsid w:val="009B21FC"/>
    <w:rsid w:val="009B2FE2"/>
    <w:rsid w:val="009B3800"/>
    <w:rsid w:val="009D22AC"/>
    <w:rsid w:val="009D50DB"/>
    <w:rsid w:val="009E1C4E"/>
    <w:rsid w:val="009F45DA"/>
    <w:rsid w:val="00A000AC"/>
    <w:rsid w:val="00A049FA"/>
    <w:rsid w:val="00A05E0B"/>
    <w:rsid w:val="00A07726"/>
    <w:rsid w:val="00A10AF6"/>
    <w:rsid w:val="00A1427D"/>
    <w:rsid w:val="00A21803"/>
    <w:rsid w:val="00A4634F"/>
    <w:rsid w:val="00A51CF3"/>
    <w:rsid w:val="00A60EF1"/>
    <w:rsid w:val="00A72F22"/>
    <w:rsid w:val="00A748A6"/>
    <w:rsid w:val="00A85AD4"/>
    <w:rsid w:val="00A879A4"/>
    <w:rsid w:val="00A87E95"/>
    <w:rsid w:val="00A92E29"/>
    <w:rsid w:val="00AB23EA"/>
    <w:rsid w:val="00AD09E9"/>
    <w:rsid w:val="00AE5B33"/>
    <w:rsid w:val="00AF0576"/>
    <w:rsid w:val="00AF3829"/>
    <w:rsid w:val="00B037F0"/>
    <w:rsid w:val="00B03DE4"/>
    <w:rsid w:val="00B12D8C"/>
    <w:rsid w:val="00B2327D"/>
    <w:rsid w:val="00B2718F"/>
    <w:rsid w:val="00B27867"/>
    <w:rsid w:val="00B30179"/>
    <w:rsid w:val="00B3317B"/>
    <w:rsid w:val="00B334DC"/>
    <w:rsid w:val="00B348DD"/>
    <w:rsid w:val="00B3631A"/>
    <w:rsid w:val="00B41825"/>
    <w:rsid w:val="00B53013"/>
    <w:rsid w:val="00B67F5E"/>
    <w:rsid w:val="00B73E65"/>
    <w:rsid w:val="00B81E12"/>
    <w:rsid w:val="00B87110"/>
    <w:rsid w:val="00B97FA8"/>
    <w:rsid w:val="00BA3542"/>
    <w:rsid w:val="00BC1385"/>
    <w:rsid w:val="00BC74E9"/>
    <w:rsid w:val="00BE618E"/>
    <w:rsid w:val="00BE667A"/>
    <w:rsid w:val="00BF0707"/>
    <w:rsid w:val="00C233BA"/>
    <w:rsid w:val="00C24693"/>
    <w:rsid w:val="00C26FA4"/>
    <w:rsid w:val="00C35F0B"/>
    <w:rsid w:val="00C463DD"/>
    <w:rsid w:val="00C55CD6"/>
    <w:rsid w:val="00C64458"/>
    <w:rsid w:val="00C745C3"/>
    <w:rsid w:val="00C96BEE"/>
    <w:rsid w:val="00CA2A58"/>
    <w:rsid w:val="00CB06EB"/>
    <w:rsid w:val="00CB38F4"/>
    <w:rsid w:val="00CC0B55"/>
    <w:rsid w:val="00CC21A1"/>
    <w:rsid w:val="00CD1BEB"/>
    <w:rsid w:val="00CD6995"/>
    <w:rsid w:val="00CE4A8F"/>
    <w:rsid w:val="00CE799F"/>
    <w:rsid w:val="00CF0214"/>
    <w:rsid w:val="00CF586F"/>
    <w:rsid w:val="00CF7D43"/>
    <w:rsid w:val="00D11129"/>
    <w:rsid w:val="00D2031B"/>
    <w:rsid w:val="00D22332"/>
    <w:rsid w:val="00D25FE2"/>
    <w:rsid w:val="00D41397"/>
    <w:rsid w:val="00D43252"/>
    <w:rsid w:val="00D550F9"/>
    <w:rsid w:val="00D572B0"/>
    <w:rsid w:val="00D62E90"/>
    <w:rsid w:val="00D76BE5"/>
    <w:rsid w:val="00D978C6"/>
    <w:rsid w:val="00DA67AD"/>
    <w:rsid w:val="00DB18CE"/>
    <w:rsid w:val="00DC2E20"/>
    <w:rsid w:val="00DC7806"/>
    <w:rsid w:val="00DD6070"/>
    <w:rsid w:val="00DE3EC0"/>
    <w:rsid w:val="00DF1AB7"/>
    <w:rsid w:val="00DF4F31"/>
    <w:rsid w:val="00E04280"/>
    <w:rsid w:val="00E11593"/>
    <w:rsid w:val="00E12B6B"/>
    <w:rsid w:val="00E130AB"/>
    <w:rsid w:val="00E318C0"/>
    <w:rsid w:val="00E34B36"/>
    <w:rsid w:val="00E438D9"/>
    <w:rsid w:val="00E50F07"/>
    <w:rsid w:val="00E5644E"/>
    <w:rsid w:val="00E7260F"/>
    <w:rsid w:val="00E806EE"/>
    <w:rsid w:val="00E8375B"/>
    <w:rsid w:val="00E84F4D"/>
    <w:rsid w:val="00E86C19"/>
    <w:rsid w:val="00E96630"/>
    <w:rsid w:val="00E9664E"/>
    <w:rsid w:val="00EB0FB9"/>
    <w:rsid w:val="00ED0CA9"/>
    <w:rsid w:val="00ED7A2A"/>
    <w:rsid w:val="00EF1D7F"/>
    <w:rsid w:val="00EF5BDB"/>
    <w:rsid w:val="00F07FD9"/>
    <w:rsid w:val="00F23933"/>
    <w:rsid w:val="00F24119"/>
    <w:rsid w:val="00F30949"/>
    <w:rsid w:val="00F36AB5"/>
    <w:rsid w:val="00F40E75"/>
    <w:rsid w:val="00F42CD9"/>
    <w:rsid w:val="00F52936"/>
    <w:rsid w:val="00F66137"/>
    <w:rsid w:val="00F677CB"/>
    <w:rsid w:val="00F7093E"/>
    <w:rsid w:val="00F831C0"/>
    <w:rsid w:val="00F85047"/>
    <w:rsid w:val="00F86558"/>
    <w:rsid w:val="00F93E1F"/>
    <w:rsid w:val="00FA673C"/>
    <w:rsid w:val="00FA7DF3"/>
    <w:rsid w:val="00FC68B7"/>
    <w:rsid w:val="00FD7C12"/>
    <w:rsid w:val="00FE7BB7"/>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6A805"/>
  <w15:docId w15:val="{7B0FDD5E-4789-4EAF-B764-D0FDC78C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1GChar">
    <w:name w:val="_ H_1_G Char"/>
    <w:link w:val="H1G"/>
    <w:rsid w:val="00FE7BB7"/>
    <w:rPr>
      <w:b/>
      <w:sz w:val="24"/>
      <w:lang w:val="en-GB" w:eastAsia="en-US" w:bidi="ar-SA"/>
    </w:rPr>
  </w:style>
  <w:style w:type="character" w:customStyle="1" w:styleId="SingleTxtGChar">
    <w:name w:val="_ Single Txt_G Char"/>
    <w:link w:val="SingleTxtG"/>
    <w:rsid w:val="00FE7BB7"/>
    <w:rPr>
      <w:lang w:val="en-GB" w:eastAsia="en-US" w:bidi="ar-SA"/>
    </w:rPr>
  </w:style>
  <w:style w:type="paragraph" w:styleId="BalloonText">
    <w:name w:val="Balloon Text"/>
    <w:basedOn w:val="Normal"/>
    <w:link w:val="BalloonTextChar"/>
    <w:rsid w:val="0089420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9420F"/>
    <w:rPr>
      <w:rFonts w:ascii="Tahoma" w:hAnsi="Tahoma" w:cs="Tahoma"/>
      <w:sz w:val="16"/>
      <w:szCs w:val="16"/>
      <w:lang w:eastAsia="en-US"/>
    </w:rPr>
  </w:style>
  <w:style w:type="character" w:styleId="CommentReference">
    <w:name w:val="annotation reference"/>
    <w:basedOn w:val="DefaultParagraphFont"/>
    <w:uiPriority w:val="99"/>
    <w:unhideWhenUsed/>
    <w:rsid w:val="0089420F"/>
    <w:rPr>
      <w:sz w:val="16"/>
      <w:szCs w:val="16"/>
    </w:rPr>
  </w:style>
  <w:style w:type="paragraph" w:styleId="PlainText">
    <w:name w:val="Plain Text"/>
    <w:basedOn w:val="Normal"/>
    <w:link w:val="PlainTextChar"/>
    <w:uiPriority w:val="99"/>
    <w:unhideWhenUsed/>
    <w:rsid w:val="0089420F"/>
    <w:pPr>
      <w:suppressAutoHyphens w:val="0"/>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9420F"/>
    <w:rPr>
      <w:rFonts w:ascii="Consolas" w:eastAsiaTheme="minorHAnsi" w:hAnsi="Consolas" w:cstheme="minorBidi"/>
      <w:sz w:val="21"/>
      <w:szCs w:val="21"/>
      <w:lang w:eastAsia="en-US"/>
    </w:rPr>
  </w:style>
  <w:style w:type="paragraph" w:styleId="CommentText">
    <w:name w:val="annotation text"/>
    <w:basedOn w:val="Normal"/>
    <w:link w:val="CommentTextChar"/>
    <w:rsid w:val="001712FF"/>
    <w:pPr>
      <w:spacing w:line="240" w:lineRule="auto"/>
    </w:pPr>
    <w:rPr>
      <w:sz w:val="24"/>
      <w:szCs w:val="24"/>
    </w:rPr>
  </w:style>
  <w:style w:type="character" w:customStyle="1" w:styleId="CommentTextChar">
    <w:name w:val="Comment Text Char"/>
    <w:basedOn w:val="DefaultParagraphFont"/>
    <w:link w:val="CommentText"/>
    <w:rsid w:val="001712FF"/>
    <w:rPr>
      <w:sz w:val="24"/>
      <w:szCs w:val="24"/>
      <w:lang w:eastAsia="en-US"/>
    </w:rPr>
  </w:style>
  <w:style w:type="paragraph" w:styleId="CommentSubject">
    <w:name w:val="annotation subject"/>
    <w:basedOn w:val="CommentText"/>
    <w:next w:val="CommentText"/>
    <w:link w:val="CommentSubjectChar"/>
    <w:rsid w:val="001712FF"/>
    <w:rPr>
      <w:b/>
      <w:bCs/>
      <w:sz w:val="20"/>
      <w:szCs w:val="20"/>
    </w:rPr>
  </w:style>
  <w:style w:type="character" w:customStyle="1" w:styleId="CommentSubjectChar">
    <w:name w:val="Comment Subject Char"/>
    <w:basedOn w:val="CommentTextChar"/>
    <w:link w:val="CommentSubject"/>
    <w:rsid w:val="001712FF"/>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http://ap.ohchr.org/documents/dpage_e.aspx?si=A/HRC/34/L.1</Url>
      <Description>available</Description>
    </Other_x0020_Languages>
    <Type_x0020_of_x0020_Document xmlns="03f70f19-e89e-44b9-ac87-203e4f9d8d9f">2 - L. document as issued</Type_x0020_of_x0020_Document>
    <Symbol_x0020_Number xmlns="03f70f19-e89e-44b9-ac87-203e4f9d8d9f">A_HRC_34_L.1</Symbol_x0020_Number>
    <Voting_x0020_Process_x0020_Order xmlns="03f70f19-e89e-44b9-ac87-203e4f9d8d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7F7EBCC459B4EA001B78082FE3B8A" ma:contentTypeVersion="15" ma:contentTypeDescription="Create a new document." ma:contentTypeScope="" ma:versionID="400dcdb2a2c422ceb6cfbd40b2f24154">
  <xsd:schema xmlns:xsd="http://www.w3.org/2001/XMLSchema" xmlns:xs="http://www.w3.org/2001/XMLSchema" xmlns:p="http://schemas.microsoft.com/office/2006/metadata/properties" xmlns:ns2="03f70f19-e89e-44b9-ac87-203e4f9d8d9f" targetNamespace="http://schemas.microsoft.com/office/2006/metadata/properties" ma:root="true" ma:fieldsID="165a1dc4ce54e7402fd199464bac19bc"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ma:readOnly="false">
      <xsd:simpleType>
        <xsd:restriction base="dms:Text">
          <xsd:maxLength value="255"/>
        </xsd:restriction>
      </xsd:simpleType>
    </xsd:element>
    <xsd:element name="Type_x0020_of_x0020_Document" ma:index="9" nillable="true" ma:displayName="Type of Document" ma:default="3 - L. document as received" ma:format="Dropdown" ma:internalName="Type_x0020_of_x0020_Document">
      <xsd:simpleType>
        <xsd:restriction base="dms:Choice">
          <xsd:enumeration value="3 - L. document as received"/>
          <xsd:enumeration value="2 - L. document as issued"/>
          <xsd:enumeration value="Final document as adopted"/>
          <xsd:enumeration value="Introductory Statement"/>
          <xsd:enumeration value="Oral revisions"/>
          <xsd:enumeration value="PBI"/>
          <xsd:enumeration value="1 - Voting Process"/>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A81F-CA93-44E8-891C-29737078B03F}">
  <ds:schemaRefs>
    <ds:schemaRef ds:uri="http://schemas.microsoft.com/office/2006/metadata/properties"/>
    <ds:schemaRef ds:uri="http://schemas.microsoft.com/office/infopath/2007/PartnerControls"/>
    <ds:schemaRef ds:uri="03f70f19-e89e-44b9-ac87-203e4f9d8d9f"/>
  </ds:schemaRefs>
</ds:datastoreItem>
</file>

<file path=customXml/itemProps2.xml><?xml version="1.0" encoding="utf-8"?>
<ds:datastoreItem xmlns:ds="http://schemas.openxmlformats.org/officeDocument/2006/customXml" ds:itemID="{65D40631-FD0C-4662-A703-1908C01ED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57C26-086C-4ACB-8BB5-6FE4EAE73575}">
  <ds:schemaRefs>
    <ds:schemaRef ds:uri="http://schemas.microsoft.com/sharepoint/v3/contenttype/forms"/>
  </ds:schemaRefs>
</ds:datastoreItem>
</file>

<file path=customXml/itemProps4.xml><?xml version="1.0" encoding="utf-8"?>
<ds:datastoreItem xmlns:ds="http://schemas.openxmlformats.org/officeDocument/2006/customXml" ds:itemID="{AE6C7679-4CBA-4D2D-BC3F-EE72E229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1704174</vt:lpstr>
    </vt:vector>
  </TitlesOfParts>
  <Company>CSD</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1704174</dc:title>
  <dc:subject>A/HRC/34/L.1</dc:subject>
  <dc:creator>Kiatsurayanon</dc:creator>
  <cp:keywords/>
  <dc:description/>
  <cp:lastModifiedBy>Vithya N</cp:lastModifiedBy>
  <cp:revision>2</cp:revision>
  <cp:lastPrinted>2015-09-30T10:53:00Z</cp:lastPrinted>
  <dcterms:created xsi:type="dcterms:W3CDTF">2017-03-16T22:57:00Z</dcterms:created>
  <dcterms:modified xsi:type="dcterms:W3CDTF">2017-03-16T22:57:00Z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0x010100E4F7F7EBCC459B4EA001B78082FE3B8A</vt:lpwstr>
  </property>
</Properties>
</file>